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3301A4" w14:textId="77777777" w:rsidR="00DC1115" w:rsidRDefault="00000000">
      <w:pPr>
        <w:spacing w:before="240" w:after="160"/>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Applying Traditional Finance Portfolio Margin Risk Strategies to Uniswap v3 Collateral in DeFi Lending</w:t>
      </w:r>
    </w:p>
    <w:p w14:paraId="51D2BB22" w14:textId="77777777" w:rsidR="00DC1115" w:rsidRDefault="00000000">
      <w:pPr>
        <w:spacing w:before="120" w:after="4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Mark Urusov</w:t>
      </w:r>
    </w:p>
    <w:p w14:paraId="1C61D6EE" w14:textId="77777777" w:rsidR="00DC1115" w:rsidRDefault="00000000">
      <w:pPr>
        <w:spacing w:after="240"/>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Seton Hall Preparatory School</w:t>
      </w:r>
    </w:p>
    <w:p w14:paraId="707F1830" w14:textId="77777777" w:rsidR="00DC1115" w:rsidRDefault="00000000">
      <w:pPr>
        <w:pStyle w:val="Heading1"/>
        <w:rPr>
          <w:rFonts w:ascii="Times New Roman" w:eastAsia="Times New Roman" w:hAnsi="Times New Roman" w:cs="Times New Roman"/>
          <w:b/>
          <w:bCs/>
          <w:shd w:val="clear" w:color="auto" w:fill="606060"/>
        </w:rPr>
      </w:pPr>
      <w:r>
        <w:rPr>
          <w:rFonts w:ascii="Times New Roman" w:eastAsia="Times New Roman" w:hAnsi="Times New Roman" w:cs="Times New Roman"/>
          <w:b/>
          <w:bCs/>
        </w:rPr>
        <w:t>Abstract</w:t>
      </w:r>
      <w:r>
        <w:rPr>
          <w:rFonts w:ascii="Times New Roman" w:eastAsia="Times New Roman" w:hAnsi="Times New Roman" w:cs="Times New Roman"/>
          <w:b/>
          <w:bCs/>
          <w:shd w:val="clear" w:color="auto" w:fill="606060"/>
        </w:rPr>
        <w:t xml:space="preserve"> </w:t>
      </w:r>
    </w:p>
    <w:p w14:paraId="56CFDE53" w14:textId="77777777" w:rsidR="00DC1115" w:rsidRPr="00F0454B" w:rsidRDefault="00000000" w:rsidP="00F0454B">
      <w:pPr>
        <w:ind w:firstLine="720"/>
        <w:rPr>
          <w:rFonts w:ascii="Times New Roman" w:hAnsi="Times New Roman" w:cs="Times New Roman"/>
          <w:shd w:val="clear" w:color="auto" w:fill="606060"/>
        </w:rPr>
      </w:pPr>
      <w:r w:rsidRPr="00F0454B">
        <w:rPr>
          <w:rFonts w:ascii="Times New Roman" w:hAnsi="Times New Roman" w:cs="Times New Roman"/>
        </w:rPr>
        <w:t>Decentralized finance liquidity providers (LPs) who use their Uniswap v3 positions as collateral on lending platforms such as Aave often face liquidations because these platforms rely on fixed Loan-to-Value (LTV) rules. These rules do not account for Impermanent Loss which can increase rapidly when asset prices move outside an LP's chosen price range.</w:t>
      </w:r>
      <w:r w:rsidRPr="00F0454B">
        <w:rPr>
          <w:rFonts w:ascii="Times New Roman" w:hAnsi="Times New Roman" w:cs="Times New Roman"/>
          <w:shd w:val="clear" w:color="auto" w:fill="606060"/>
        </w:rPr>
        <w:t xml:space="preserve"> </w:t>
      </w:r>
    </w:p>
    <w:p w14:paraId="51D81FF8" w14:textId="77777777" w:rsidR="00F0454B" w:rsidRDefault="00000000" w:rsidP="00F0454B">
      <w:pPr>
        <w:ind w:firstLine="720"/>
        <w:rPr>
          <w:rFonts w:ascii="Times New Roman" w:hAnsi="Times New Roman" w:cs="Times New Roman"/>
        </w:rPr>
      </w:pPr>
      <w:r w:rsidRPr="00F0454B">
        <w:rPr>
          <w:rFonts w:ascii="Times New Roman" w:hAnsi="Times New Roman" w:cs="Times New Roman"/>
        </w:rPr>
        <w:t xml:space="preserve">To address this, we simulated Uniswap v3 LP positions using historical ETH/USD price data and compared the standard fixed-LTV lending model with a hybrid risk-management framework that incorporates stress testing and conservative exposure limits. Under the conventional 65% LTV model, liquidations were frequent, with 23,731 liquidation events observed over roughly a decade of daily price data (2015–2025). </w:t>
      </w:r>
    </w:p>
    <w:p w14:paraId="69648038" w14:textId="77777777" w:rsidR="00F0454B" w:rsidRDefault="00000000" w:rsidP="00F0454B">
      <w:pPr>
        <w:ind w:firstLine="720"/>
        <w:rPr>
          <w:rFonts w:ascii="Times New Roman" w:hAnsi="Times New Roman" w:cs="Times New Roman"/>
          <w:shd w:val="clear" w:color="auto" w:fill="606060"/>
        </w:rPr>
      </w:pPr>
      <w:r w:rsidRPr="00F0454B">
        <w:rPr>
          <w:rFonts w:ascii="Times New Roman" w:hAnsi="Times New Roman" w:cs="Times New Roman"/>
        </w:rPr>
        <w:t xml:space="preserve">The proposed framework reduced liquidations by 94.09% while maintaining healthier collateral positions, achieving this through reducing effective leverage from the </w:t>
      </w:r>
      <w:r w:rsidR="0027144A" w:rsidRPr="00F0454B">
        <w:rPr>
          <w:rFonts w:ascii="Times New Roman" w:hAnsi="Times New Roman" w:cs="Times New Roman"/>
        </w:rPr>
        <w:t xml:space="preserve">preset </w:t>
      </w:r>
      <w:r w:rsidRPr="00F0454B">
        <w:rPr>
          <w:rFonts w:ascii="Times New Roman" w:hAnsi="Times New Roman" w:cs="Times New Roman"/>
        </w:rPr>
        <w:t xml:space="preserve">fixed limit to a </w:t>
      </w:r>
      <w:r w:rsidR="0027144A" w:rsidRPr="00F0454B">
        <w:rPr>
          <w:rFonts w:ascii="Times New Roman" w:hAnsi="Times New Roman" w:cs="Times New Roman"/>
        </w:rPr>
        <w:t xml:space="preserve">market-aware </w:t>
      </w:r>
      <w:r w:rsidRPr="00F0454B">
        <w:rPr>
          <w:rFonts w:ascii="Times New Roman" w:hAnsi="Times New Roman" w:cs="Times New Roman"/>
        </w:rPr>
        <w:t>consistently conservative level rather than full liquidation.</w:t>
      </w:r>
      <w:r w:rsidRPr="00F0454B">
        <w:rPr>
          <w:rFonts w:ascii="Times New Roman" w:hAnsi="Times New Roman" w:cs="Times New Roman"/>
          <w:shd w:val="clear" w:color="auto" w:fill="606060"/>
        </w:rPr>
        <w:t xml:space="preserve"> </w:t>
      </w:r>
    </w:p>
    <w:p w14:paraId="78649D25" w14:textId="0632E414" w:rsidR="00DC1115" w:rsidRPr="00F0454B" w:rsidRDefault="00000000" w:rsidP="00F0454B">
      <w:pPr>
        <w:ind w:firstLine="720"/>
        <w:rPr>
          <w:rFonts w:ascii="Times New Roman" w:hAnsi="Times New Roman" w:cs="Times New Roman"/>
          <w:shd w:val="clear" w:color="auto" w:fill="606060"/>
        </w:rPr>
      </w:pPr>
      <w:r w:rsidRPr="00F0454B">
        <w:rPr>
          <w:rFonts w:ascii="Times New Roman" w:hAnsi="Times New Roman" w:cs="Times New Roman"/>
        </w:rPr>
        <w:t>These findings suggest that incorporating impermanent loss-aware risk controls into DeFi lending protocols could significantly reduce liquidations while keeping leveraged positions safer through periods of volatility. By combining the accessibility of DeFi with the risk management techniques used in traditional finance, lending platforms can become more stable and efficient, benefiting liquidity providers.</w:t>
      </w:r>
      <w:r w:rsidRPr="00F0454B">
        <w:rPr>
          <w:rFonts w:ascii="Times New Roman" w:hAnsi="Times New Roman" w:cs="Times New Roman"/>
          <w:shd w:val="clear" w:color="auto" w:fill="606060"/>
        </w:rPr>
        <w:t xml:space="preserve"> </w:t>
      </w:r>
    </w:p>
    <w:p w14:paraId="46ED9D56" w14:textId="77777777" w:rsidR="00DC1115" w:rsidRDefault="00000000" w:rsidP="00C6398E">
      <w:pPr>
        <w:pStyle w:val="Heading1"/>
        <w:numPr>
          <w:ilvl w:val="0"/>
          <w:numId w:val="14"/>
        </w:numPr>
        <w:rPr>
          <w:rFonts w:ascii="Times New Roman" w:eastAsia="Times New Roman" w:hAnsi="Times New Roman" w:cs="Times New Roman"/>
          <w:b/>
          <w:bCs/>
          <w:shd w:val="clear" w:color="auto" w:fill="606060"/>
        </w:rPr>
      </w:pPr>
      <w:r>
        <w:rPr>
          <w:rFonts w:ascii="Times New Roman" w:eastAsia="Times New Roman" w:hAnsi="Times New Roman" w:cs="Times New Roman"/>
          <w:b/>
          <w:bCs/>
        </w:rPr>
        <w:t>Introduction</w:t>
      </w:r>
      <w:r>
        <w:rPr>
          <w:rFonts w:ascii="Times New Roman" w:eastAsia="Times New Roman" w:hAnsi="Times New Roman" w:cs="Times New Roman"/>
          <w:b/>
          <w:bCs/>
          <w:shd w:val="clear" w:color="auto" w:fill="606060"/>
        </w:rPr>
        <w:t xml:space="preserve"> </w:t>
      </w:r>
    </w:p>
    <w:p w14:paraId="735853AD" w14:textId="77777777" w:rsidR="00F0454B" w:rsidRPr="00F0454B" w:rsidRDefault="00000000" w:rsidP="00F0454B">
      <w:pPr>
        <w:ind w:firstLine="360"/>
        <w:rPr>
          <w:rFonts w:ascii="Times New Roman" w:hAnsi="Times New Roman" w:cs="Times New Roman"/>
          <w:shd w:val="clear" w:color="auto" w:fill="606060"/>
        </w:rPr>
      </w:pPr>
      <w:r w:rsidRPr="00F0454B">
        <w:rPr>
          <w:rFonts w:ascii="Times New Roman" w:hAnsi="Times New Roman" w:cs="Times New Roman"/>
        </w:rPr>
        <w:t>Cryptocurrency markets are some of the most volatile markets in the world, with sudden price swings sometimes wiping out billions of dollars in just a few hours. These events show how risky leveraged trading can be and why better risk management is needed in decentralized finance.</w:t>
      </w:r>
      <w:r w:rsidRPr="00F0454B">
        <w:rPr>
          <w:rFonts w:ascii="Times New Roman" w:hAnsi="Times New Roman" w:cs="Times New Roman"/>
          <w:shd w:val="clear" w:color="auto" w:fill="606060"/>
        </w:rPr>
        <w:t xml:space="preserve"> </w:t>
      </w:r>
    </w:p>
    <w:p w14:paraId="0521EE9E" w14:textId="74EAEB78" w:rsidR="00DC1115" w:rsidRPr="00F0454B" w:rsidRDefault="00000000" w:rsidP="00F0454B">
      <w:pPr>
        <w:ind w:firstLine="360"/>
        <w:rPr>
          <w:rFonts w:ascii="Times New Roman" w:hAnsi="Times New Roman" w:cs="Times New Roman"/>
          <w:shd w:val="clear" w:color="auto" w:fill="606060"/>
        </w:rPr>
      </w:pPr>
      <w:r w:rsidRPr="00F0454B">
        <w:rPr>
          <w:rFonts w:ascii="Times New Roman" w:hAnsi="Times New Roman" w:cs="Times New Roman"/>
        </w:rPr>
        <w:t>One of the biggest examples occurred in November 2022, when the FTX exchange collapsed after an $8 billion hole was found in its balance sheets. The collapse caused widespread panic, leading to approximately $1–2 billion in immediate liquidations as cryptocurrency prices continued to fall [1][2]. A few years later, in October 2025, rising U.S.-China trade tensions and the announcement of 100% tariffs on Chinese imports caused the largest single-day liquidation event in crypto history. In around 24 hours, more than $19–20 billion in leveraged positions were liquidated, and Bitcoin fell by 12% [3][4][5][6].</w:t>
      </w:r>
      <w:r w:rsidRPr="00F0454B">
        <w:rPr>
          <w:rFonts w:ascii="Times New Roman" w:hAnsi="Times New Roman" w:cs="Times New Roman"/>
          <w:shd w:val="clear" w:color="auto" w:fill="606060"/>
        </w:rPr>
        <w:t xml:space="preserve"> </w:t>
      </w:r>
    </w:p>
    <w:p w14:paraId="01CBCC3D" w14:textId="77777777" w:rsidR="00DC1115" w:rsidRPr="00F0454B" w:rsidRDefault="00000000" w:rsidP="00F0454B">
      <w:pPr>
        <w:ind w:firstLine="360"/>
        <w:rPr>
          <w:rFonts w:ascii="Times New Roman" w:hAnsi="Times New Roman" w:cs="Times New Roman"/>
        </w:rPr>
      </w:pPr>
      <w:r w:rsidRPr="00F0454B">
        <w:rPr>
          <w:rFonts w:ascii="Times New Roman" w:hAnsi="Times New Roman" w:cs="Times New Roman"/>
        </w:rPr>
        <w:t>During this period of extreme volatility, Uniswap v3 experienced a lot of trading volume, creating an opportunity for LPs to earn large fees. However, many LPs were liquidated before they could benefit. Because lending protocols rely on fixed LTV (loan-to-value) rules that ignore impermanent loss, many users were either forced to over-collateralize their positions or were liquidated.</w:t>
      </w:r>
    </w:p>
    <w:p w14:paraId="0266F36A" w14:textId="77777777" w:rsidR="00DC1115" w:rsidRPr="00F0454B" w:rsidRDefault="00000000" w:rsidP="00F0454B">
      <w:pPr>
        <w:ind w:firstLine="360"/>
        <w:rPr>
          <w:rFonts w:ascii="Times New Roman" w:hAnsi="Times New Roman" w:cs="Times New Roman"/>
        </w:rPr>
      </w:pPr>
      <w:r w:rsidRPr="00F0454B">
        <w:rPr>
          <w:rFonts w:ascii="Times New Roman" w:hAnsi="Times New Roman" w:cs="Times New Roman"/>
        </w:rPr>
        <w:lastRenderedPageBreak/>
        <w:t>The purpose of this project is to compare the fixed LTV liquidation model used by decentralized lending protocols such as Aave with the portfolio margin systems used in traditional finance, including methods introduced by the SEC in 2006 [12]. In traditional finance, margin requirements adjust as market risk changes, while most decentralized protocols apply the same fixed liquidation rules in every market condition, creating unnecessary liquidations.</w:t>
      </w:r>
    </w:p>
    <w:p w14:paraId="4294E647" w14:textId="77777777" w:rsidR="00DC1115" w:rsidRPr="00F0454B" w:rsidRDefault="00000000" w:rsidP="00F0454B">
      <w:pPr>
        <w:ind w:firstLine="360"/>
        <w:rPr>
          <w:rFonts w:ascii="Times New Roman" w:hAnsi="Times New Roman" w:cs="Times New Roman"/>
          <w:shd w:val="clear" w:color="auto" w:fill="606060"/>
        </w:rPr>
      </w:pPr>
      <w:r w:rsidRPr="00F0454B">
        <w:rPr>
          <w:rFonts w:ascii="Times New Roman" w:hAnsi="Times New Roman" w:cs="Times New Roman"/>
        </w:rPr>
        <w:t>To examine why LPs are liquidated so often and whether a more dynamic approach helps, we built a simulation using real historical ETH prices and 500 simulated Uniswap v3 LP positions, and compared the fixed-LTV model against a dynamic portfolio margin model that uses risk-based stress testing and gradual adjustments instead of fixed thresholds.</w:t>
      </w:r>
    </w:p>
    <w:p w14:paraId="6553082E" w14:textId="77777777" w:rsidR="00DC1115" w:rsidRPr="00F0454B" w:rsidRDefault="00000000" w:rsidP="00F0454B">
      <w:pPr>
        <w:ind w:firstLine="360"/>
        <w:rPr>
          <w:rFonts w:ascii="Times New Roman" w:hAnsi="Times New Roman" w:cs="Times New Roman"/>
          <w:shd w:val="clear" w:color="auto" w:fill="606060"/>
        </w:rPr>
      </w:pPr>
      <w:r w:rsidRPr="00F0454B">
        <w:rPr>
          <w:rFonts w:ascii="Times New Roman" w:hAnsi="Times New Roman" w:cs="Times New Roman"/>
        </w:rPr>
        <w:t>Our simulations show that this approach can reduce liquidations by more than 97% by proactively lowering effective leverage during periods of stress instead of increasing leverage. By avoiding unnecessary liquidations, positions can remain active and continue earning yield farming fees, supporting deeper and more stable liquidity on Uniswap.</w:t>
      </w:r>
    </w:p>
    <w:p w14:paraId="3D6DAF78" w14:textId="77777777" w:rsidR="00DC1115" w:rsidRDefault="00C6398E">
      <w:pPr>
        <w:pStyle w:val="Heading1"/>
        <w:rPr>
          <w:rFonts w:ascii="Times New Roman" w:eastAsia="Times New Roman" w:hAnsi="Times New Roman" w:cs="Times New Roman"/>
          <w:b/>
          <w:bCs/>
          <w:sz w:val="24"/>
          <w:szCs w:val="24"/>
          <w:shd w:val="clear" w:color="auto" w:fill="606060"/>
        </w:rPr>
      </w:pPr>
      <w:r>
        <w:rPr>
          <w:rFonts w:ascii="Times New Roman" w:eastAsia="Times New Roman" w:hAnsi="Times New Roman" w:cs="Times New Roman"/>
          <w:b/>
          <w:bCs/>
        </w:rPr>
        <w:t>2. Literature Review</w:t>
      </w:r>
      <w:r>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shd w:val="clear" w:color="auto" w:fill="606060"/>
        </w:rPr>
        <w:t xml:space="preserve"> </w:t>
      </w:r>
    </w:p>
    <w:p w14:paraId="33F15181" w14:textId="77777777" w:rsidR="00DC1115" w:rsidRDefault="00000000">
      <w:pPr>
        <w:pStyle w:val="Heading2"/>
        <w:rPr>
          <w:rFonts w:ascii="Times New Roman" w:eastAsia="Times New Roman" w:hAnsi="Times New Roman" w:cs="Times New Roman"/>
          <w:shd w:val="clear" w:color="auto" w:fill="606060"/>
        </w:rPr>
      </w:pPr>
      <w:r>
        <w:rPr>
          <w:rFonts w:ascii="Times New Roman" w:eastAsia="Times New Roman" w:hAnsi="Times New Roman" w:cs="Times New Roman"/>
        </w:rPr>
        <w:t>2.1 Uniswap V3 &amp; Impermanent Loss</w:t>
      </w:r>
      <w:r>
        <w:rPr>
          <w:rFonts w:ascii="Times New Roman" w:eastAsia="Times New Roman" w:hAnsi="Times New Roman" w:cs="Times New Roman"/>
          <w:shd w:val="clear" w:color="auto" w:fill="606060"/>
        </w:rPr>
        <w:t xml:space="preserve"> </w:t>
      </w:r>
    </w:p>
    <w:p w14:paraId="4BD0A392" w14:textId="77777777" w:rsidR="00DC1115" w:rsidRDefault="00000000">
      <w:pPr>
        <w:shd w:val="clear" w:color="auto" w:fill="FFFFFF"/>
        <w:spacing w:after="160"/>
        <w:ind w:firstLine="720"/>
        <w:rPr>
          <w:rFonts w:ascii="Times New Roman" w:eastAsia="Times New Roman" w:hAnsi="Times New Roman" w:cs="Times New Roman"/>
          <w:shd w:val="clear" w:color="auto" w:fill="606060"/>
        </w:rPr>
      </w:pPr>
      <w:r>
        <w:rPr>
          <w:rFonts w:ascii="Times New Roman" w:eastAsia="Times New Roman" w:hAnsi="Times New Roman" w:cs="Times New Roman"/>
        </w:rPr>
        <w:t>Decentralized exchanges such as Uniswap allow users to trade cryptocurrencies without having to rely on a bank or another central authority. Instead of matching buyers and sellers directly, Uniswap uses automated market makers, which are smart contracts that hold pools of two different tokens such as ETH and USDC. When someone wants to swap one token for another, they trade directly with the pool instead of another person.</w:t>
      </w:r>
      <w:r>
        <w:rPr>
          <w:rFonts w:ascii="Times New Roman" w:eastAsia="Times New Roman" w:hAnsi="Times New Roman" w:cs="Times New Roman"/>
          <w:shd w:val="clear" w:color="auto" w:fill="606060"/>
        </w:rPr>
        <w:t xml:space="preserve"> </w:t>
      </w:r>
    </w:p>
    <w:p w14:paraId="1E1FEC7C" w14:textId="77777777" w:rsidR="00DC1115" w:rsidRDefault="00000000">
      <w:pPr>
        <w:shd w:val="clear" w:color="auto" w:fill="FFFFFF"/>
        <w:spacing w:after="160"/>
        <w:rPr>
          <w:rFonts w:ascii="Times New Roman" w:eastAsia="Times New Roman" w:hAnsi="Times New Roman" w:cs="Times New Roman"/>
          <w:shd w:val="clear" w:color="auto" w:fill="606060"/>
        </w:rPr>
      </w:pPr>
      <w:r>
        <w:rPr>
          <w:rFonts w:ascii="Times New Roman" w:eastAsia="Times New Roman" w:hAnsi="Times New Roman" w:cs="Times New Roman"/>
        </w:rPr>
        <w:t>Most automated market makers use the constant product formula:</w:t>
      </w:r>
      <w:r>
        <w:rPr>
          <w:rFonts w:ascii="Times New Roman" w:eastAsia="Times New Roman" w:hAnsi="Times New Roman" w:cs="Times New Roman"/>
          <w:shd w:val="clear" w:color="auto" w:fill="606060"/>
        </w:rPr>
        <w:t xml:space="preserve"> </w:t>
      </w:r>
    </w:p>
    <w:p w14:paraId="49C01FB9" w14:textId="77777777" w:rsidR="00DC1115" w:rsidRDefault="00000000">
      <w:pPr>
        <w:shd w:val="clear" w:color="auto" w:fill="FFFFFF"/>
        <w:spacing w:after="160"/>
        <w:rPr>
          <w:rFonts w:ascii="Times New Roman" w:eastAsia="Times New Roman" w:hAnsi="Times New Roman" w:cs="Times New Roman"/>
          <w:shd w:val="clear" w:color="auto" w:fill="606060"/>
        </w:rPr>
      </w:pPr>
      <w:r>
        <w:rPr>
          <w:rFonts w:ascii="Times New Roman" w:eastAsia="Times New Roman" w:hAnsi="Times New Roman" w:cs="Times New Roman"/>
        </w:rPr>
        <w:t>x * y = k</w:t>
      </w:r>
      <w:r>
        <w:rPr>
          <w:rFonts w:ascii="Times New Roman" w:eastAsia="Times New Roman" w:hAnsi="Times New Roman" w:cs="Times New Roman"/>
          <w:shd w:val="clear" w:color="auto" w:fill="606060"/>
        </w:rPr>
        <w:t xml:space="preserve"> </w:t>
      </w:r>
    </w:p>
    <w:p w14:paraId="6A8DCB67" w14:textId="77777777" w:rsidR="00DC1115" w:rsidRDefault="00000000">
      <w:pPr>
        <w:shd w:val="clear" w:color="auto" w:fill="FFFFFF"/>
        <w:spacing w:after="160"/>
        <w:rPr>
          <w:rFonts w:ascii="Times New Roman" w:eastAsia="Times New Roman" w:hAnsi="Times New Roman" w:cs="Times New Roman"/>
          <w:shd w:val="clear" w:color="auto" w:fill="606060"/>
        </w:rPr>
      </w:pPr>
      <w:r>
        <w:rPr>
          <w:rFonts w:ascii="Times New Roman" w:eastAsia="Times New Roman" w:hAnsi="Times New Roman" w:cs="Times New Roman"/>
        </w:rPr>
        <w:t>where:</w:t>
      </w:r>
      <w:r>
        <w:rPr>
          <w:rFonts w:ascii="Times New Roman" w:eastAsia="Times New Roman" w:hAnsi="Times New Roman" w:cs="Times New Roman"/>
          <w:shd w:val="clear" w:color="auto" w:fill="606060"/>
        </w:rPr>
        <w:t xml:space="preserve"> </w:t>
      </w:r>
    </w:p>
    <w:p w14:paraId="5CC12E65" w14:textId="77777777" w:rsidR="00DC1115" w:rsidRDefault="00000000">
      <w:pPr>
        <w:numPr>
          <w:ilvl w:val="0"/>
          <w:numId w:val="13"/>
        </w:numPr>
        <w:ind w:left="1080"/>
      </w:pPr>
      <w:r>
        <w:rPr>
          <w:rFonts w:ascii="Times New Roman" w:eastAsia="Times New Roman" w:hAnsi="Times New Roman" w:cs="Times New Roman"/>
          <w:b/>
          <w:bCs/>
        </w:rPr>
        <w:t xml:space="preserve">x </w:t>
      </w:r>
      <w:r>
        <w:rPr>
          <w:rFonts w:ascii="Times New Roman" w:eastAsia="Times New Roman" w:hAnsi="Times New Roman" w:cs="Times New Roman"/>
        </w:rPr>
        <w:t>= the amount of the first token in the pool (such as ETH),</w:t>
      </w:r>
      <w:r>
        <w:rPr>
          <w:rFonts w:ascii="Times New Roman" w:eastAsia="Times New Roman" w:hAnsi="Times New Roman" w:cs="Times New Roman"/>
          <w:shd w:val="clear" w:color="auto" w:fill="606060"/>
        </w:rPr>
        <w:t xml:space="preserve"> </w:t>
      </w:r>
    </w:p>
    <w:p w14:paraId="7A1DBBD1" w14:textId="77777777" w:rsidR="00DC1115" w:rsidRDefault="00000000">
      <w:pPr>
        <w:numPr>
          <w:ilvl w:val="0"/>
          <w:numId w:val="10"/>
        </w:numPr>
        <w:ind w:left="1080"/>
      </w:pPr>
      <w:r>
        <w:rPr>
          <w:rFonts w:ascii="Times New Roman" w:eastAsia="Times New Roman" w:hAnsi="Times New Roman" w:cs="Times New Roman"/>
          <w:b/>
          <w:bCs/>
        </w:rPr>
        <w:t xml:space="preserve">y </w:t>
      </w:r>
      <w:r>
        <w:rPr>
          <w:rFonts w:ascii="Times New Roman" w:eastAsia="Times New Roman" w:hAnsi="Times New Roman" w:cs="Times New Roman"/>
        </w:rPr>
        <w:t>= the amount of the second token (such as USDC),</w:t>
      </w:r>
      <w:r>
        <w:rPr>
          <w:rFonts w:ascii="Times New Roman" w:eastAsia="Times New Roman" w:hAnsi="Times New Roman" w:cs="Times New Roman"/>
          <w:shd w:val="clear" w:color="auto" w:fill="606060"/>
        </w:rPr>
        <w:t xml:space="preserve"> </w:t>
      </w:r>
    </w:p>
    <w:p w14:paraId="61BB4D0A" w14:textId="77777777" w:rsidR="00DC1115" w:rsidRDefault="00000000">
      <w:pPr>
        <w:numPr>
          <w:ilvl w:val="0"/>
          <w:numId w:val="3"/>
        </w:numPr>
        <w:ind w:left="1080"/>
      </w:pPr>
      <w:r>
        <w:rPr>
          <w:rFonts w:ascii="Times New Roman" w:eastAsia="Times New Roman" w:hAnsi="Times New Roman" w:cs="Times New Roman"/>
          <w:b/>
          <w:bCs/>
        </w:rPr>
        <w:t xml:space="preserve">k </w:t>
      </w:r>
      <w:r>
        <w:rPr>
          <w:rFonts w:ascii="Times New Roman" w:eastAsia="Times New Roman" w:hAnsi="Times New Roman" w:cs="Times New Roman"/>
        </w:rPr>
        <w:t>= a constant value that remains the same after every trade.</w:t>
      </w:r>
      <w:r>
        <w:rPr>
          <w:rFonts w:ascii="Times New Roman" w:eastAsia="Times New Roman" w:hAnsi="Times New Roman" w:cs="Times New Roman"/>
          <w:shd w:val="clear" w:color="auto" w:fill="606060"/>
        </w:rPr>
        <w:t xml:space="preserve"> </w:t>
      </w:r>
    </w:p>
    <w:p w14:paraId="69876C3F" w14:textId="77777777" w:rsidR="00DC1115" w:rsidRDefault="00000000">
      <w:pPr>
        <w:shd w:val="clear" w:color="auto" w:fill="FFFFFF"/>
        <w:ind w:left="720"/>
        <w:rPr>
          <w:rFonts w:ascii="Times New Roman" w:eastAsia="Times New Roman" w:hAnsi="Times New Roman" w:cs="Times New Roman"/>
          <w:shd w:val="clear" w:color="auto" w:fill="606060"/>
        </w:rPr>
      </w:pPr>
      <w:r>
        <w:rPr>
          <w:rFonts w:ascii="Times New Roman" w:eastAsia="Times New Roman" w:hAnsi="Times New Roman" w:cs="Times New Roman"/>
          <w:shd w:val="clear" w:color="auto" w:fill="606060"/>
        </w:rPr>
        <w:t xml:space="preserve"> </w:t>
      </w:r>
    </w:p>
    <w:p w14:paraId="0B509125" w14:textId="77777777" w:rsidR="00DC1115" w:rsidRDefault="00000000" w:rsidP="00F0454B">
      <w:pPr>
        <w:shd w:val="clear" w:color="auto" w:fill="FFFFFF"/>
        <w:ind w:firstLine="720"/>
        <w:rPr>
          <w:rFonts w:ascii="Times New Roman" w:eastAsia="Times New Roman" w:hAnsi="Times New Roman" w:cs="Times New Roman"/>
        </w:rPr>
      </w:pPr>
      <w:r>
        <w:rPr>
          <w:rFonts w:ascii="Times New Roman" w:eastAsia="Times New Roman" w:hAnsi="Times New Roman" w:cs="Times New Roman"/>
        </w:rPr>
        <w:t xml:space="preserve">This formula automatically keeps the pool balanced. For example, if a trader buys ETH, they must deposit USDC into the pool. As ETH leaves the pool and USDC enters, the values of x and y change, but their product k stays constant. The exchange rate is determined by the ratio of y to x, which represents how much USDC one ETH is worth. Liquidity providers supply equal values of both tokens to these pools and earn a small percentage of every trade that takes place [10]. </w:t>
      </w:r>
    </w:p>
    <w:p w14:paraId="2CDCED44" w14:textId="77777777" w:rsidR="00DC1115" w:rsidRDefault="00000000" w:rsidP="00F0454B">
      <w:pPr>
        <w:shd w:val="clear" w:color="auto" w:fill="FFFFFF"/>
        <w:ind w:firstLine="720"/>
        <w:rPr>
          <w:rFonts w:ascii="Times New Roman" w:eastAsia="Times New Roman" w:hAnsi="Times New Roman" w:cs="Times New Roman"/>
          <w:shd w:val="clear" w:color="auto" w:fill="606060"/>
        </w:rPr>
      </w:pPr>
      <w:r>
        <w:rPr>
          <w:rFonts w:ascii="Times New Roman" w:eastAsia="Times New Roman" w:hAnsi="Times New Roman" w:cs="Times New Roman"/>
        </w:rPr>
        <w:t xml:space="preserve">In Uniswap v2, liquidity was spread across every possible price. This meant that a large portion of an LP's capital was sitting in price ranges where almost no trading occurred. Uniswap v3 introduced concentrated liquidity, allowing LPs to choose the price range where they wanted to provide liquidity. For example, an LP might decide to provide liquidity only while ETH trades between $2,500 and $3,500. Because their funds are concentrated where most trading occurs, they can earn much higher fees. </w:t>
      </w:r>
      <w:r>
        <w:rPr>
          <w:rFonts w:ascii="Times New Roman" w:eastAsia="Times New Roman" w:hAnsi="Times New Roman" w:cs="Times New Roman"/>
        </w:rPr>
        <w:lastRenderedPageBreak/>
        <w:t>However, if the price moves outside that range, the position stops earning trading fees and becomes entirely one asset. Either all ETH or all USDC, depending on which direction the price moved.</w:t>
      </w:r>
      <w:r>
        <w:rPr>
          <w:rFonts w:ascii="Times New Roman" w:eastAsia="Times New Roman" w:hAnsi="Times New Roman" w:cs="Times New Roman"/>
          <w:shd w:val="clear" w:color="auto" w:fill="606060"/>
        </w:rPr>
        <w:t xml:space="preserve"> </w:t>
      </w:r>
    </w:p>
    <w:p w14:paraId="328725B7" w14:textId="77777777" w:rsidR="00DC1115" w:rsidRDefault="00000000" w:rsidP="00F0454B">
      <w:pPr>
        <w:shd w:val="clear" w:color="auto" w:fill="FFFFFF"/>
        <w:ind w:firstLine="720"/>
        <w:rPr>
          <w:rFonts w:ascii="Times New Roman" w:eastAsia="Times New Roman" w:hAnsi="Times New Roman" w:cs="Times New Roman"/>
          <w:shd w:val="clear" w:color="auto" w:fill="606060"/>
        </w:rPr>
      </w:pPr>
      <w:r>
        <w:rPr>
          <w:rFonts w:ascii="Times New Roman" w:eastAsia="Times New Roman" w:hAnsi="Times New Roman" w:cs="Times New Roman"/>
        </w:rPr>
        <w:t>While concentrated liquidity increases potential returns, it also increases a risk known as impermanent loss. Impermanent loss occurs because the pool automatically buys and sells assets as prices change, causing an LP's position to be worth less than if they had held the tokens without providing liquidity. For the traditional full-range model used in Uniswap v2, impermanent loss can be calculated using the formula [10]:</w:t>
      </w:r>
      <w:r>
        <w:rPr>
          <w:rFonts w:ascii="Times New Roman" w:eastAsia="Times New Roman" w:hAnsi="Times New Roman" w:cs="Times New Roman"/>
          <w:shd w:val="clear" w:color="auto" w:fill="606060"/>
        </w:rPr>
        <w:t xml:space="preserve"> </w:t>
      </w:r>
    </w:p>
    <w:p w14:paraId="05BEB96C" w14:textId="77777777" w:rsidR="00DC1115" w:rsidRDefault="00000000">
      <w:pPr>
        <w:shd w:val="clear" w:color="auto" w:fill="FFFFFF"/>
        <w:spacing w:after="160"/>
        <w:rPr>
          <w:rFonts w:ascii="Times New Roman" w:eastAsia="Times New Roman" w:hAnsi="Times New Roman" w:cs="Times New Roman"/>
          <w:shd w:val="clear" w:color="auto" w:fill="606060"/>
        </w:rPr>
      </w:pPr>
      <w:sdt>
        <w:sdtPr>
          <w:tag w:val="goog_rdk_0"/>
          <w:id w:val="-503680392"/>
        </w:sdtPr>
        <w:sdtContent>
          <w:r>
            <w:rPr>
              <w:rFonts w:ascii="Times New Roman" w:eastAsia="Times New Roman" w:hAnsi="Times New Roman" w:cs="Times New Roman"/>
            </w:rPr>
            <w:t xml:space="preserve">IL = (2√r)/(1+r) − 1 </w:t>
          </w:r>
        </w:sdtContent>
      </w:sdt>
      <w:r>
        <w:rPr>
          <w:rFonts w:ascii="Times New Roman" w:eastAsia="Times New Roman" w:hAnsi="Times New Roman" w:cs="Times New Roman"/>
          <w:shd w:val="clear" w:color="auto" w:fill="606060"/>
        </w:rPr>
        <w:t xml:space="preserve"> </w:t>
      </w:r>
    </w:p>
    <w:p w14:paraId="00DC12D8" w14:textId="77777777" w:rsidR="00DC1115" w:rsidRDefault="00000000">
      <w:pPr>
        <w:shd w:val="clear" w:color="auto" w:fill="FFFFFF"/>
        <w:spacing w:after="160"/>
        <w:rPr>
          <w:rFonts w:ascii="Times New Roman" w:eastAsia="Times New Roman" w:hAnsi="Times New Roman" w:cs="Times New Roman"/>
          <w:shd w:val="clear" w:color="auto" w:fill="606060"/>
        </w:rPr>
      </w:pPr>
      <w:r>
        <w:rPr>
          <w:rFonts w:ascii="Times New Roman" w:eastAsia="Times New Roman" w:hAnsi="Times New Roman" w:cs="Times New Roman"/>
        </w:rPr>
        <w:t xml:space="preserve">The variable </w:t>
      </w:r>
      <w:r>
        <w:rPr>
          <w:rFonts w:ascii="Times New Roman" w:eastAsia="Times New Roman" w:hAnsi="Times New Roman" w:cs="Times New Roman"/>
          <w:b/>
          <w:bCs/>
        </w:rPr>
        <w:t>r</w:t>
      </w:r>
      <w:r>
        <w:rPr>
          <w:rFonts w:ascii="Times New Roman" w:eastAsia="Times New Roman" w:hAnsi="Times New Roman" w:cs="Times New Roman"/>
        </w:rPr>
        <w:t xml:space="preserve"> is the ratio between the current price and the price when liquidity was first added.</w:t>
      </w:r>
      <w:r>
        <w:rPr>
          <w:rFonts w:ascii="Times New Roman" w:eastAsia="Times New Roman" w:hAnsi="Times New Roman" w:cs="Times New Roman"/>
          <w:shd w:val="clear" w:color="auto" w:fill="606060"/>
        </w:rPr>
        <w:t xml:space="preserve"> </w:t>
      </w:r>
    </w:p>
    <w:p w14:paraId="15CB9B33" w14:textId="77777777" w:rsidR="00DC1115" w:rsidRDefault="00000000" w:rsidP="00F0454B">
      <w:pPr>
        <w:shd w:val="clear" w:color="auto" w:fill="FFFFFF"/>
        <w:ind w:firstLine="720"/>
        <w:rPr>
          <w:rFonts w:ascii="Times New Roman" w:eastAsia="Times New Roman" w:hAnsi="Times New Roman" w:cs="Times New Roman"/>
          <w:shd w:val="clear" w:color="auto" w:fill="606060"/>
        </w:rPr>
      </w:pPr>
      <w:r>
        <w:rPr>
          <w:rFonts w:ascii="Times New Roman" w:eastAsia="Times New Roman" w:hAnsi="Times New Roman" w:cs="Times New Roman"/>
        </w:rPr>
        <w:t>In Uniswap v3, this risk becomes much greater once the market price moves outside an LP's chosen range. Narrower ranges can generate higher trading fees during stable markets, but they also cause impermanent loss to increase much more rapidly during large price swings, such as those seen during the FTX collapse and the October 2025 liquidation event. This makes Uniswap v3 LP positions riskier than traditional collateral.</w:t>
      </w:r>
      <w:r>
        <w:rPr>
          <w:rFonts w:ascii="Times New Roman" w:eastAsia="Times New Roman" w:hAnsi="Times New Roman" w:cs="Times New Roman"/>
          <w:shd w:val="clear" w:color="auto" w:fill="606060"/>
        </w:rPr>
        <w:t xml:space="preserve"> </w:t>
      </w:r>
    </w:p>
    <w:p w14:paraId="3F0DA5E1" w14:textId="77777777" w:rsidR="00DC1115" w:rsidRDefault="00000000" w:rsidP="00F0454B">
      <w:pPr>
        <w:shd w:val="clear" w:color="auto" w:fill="FFFFFF"/>
        <w:ind w:firstLine="720"/>
        <w:rPr>
          <w:rFonts w:ascii="Times New Roman" w:eastAsia="Times New Roman" w:hAnsi="Times New Roman" w:cs="Times New Roman"/>
          <w:sz w:val="24"/>
          <w:szCs w:val="24"/>
          <w:shd w:val="clear" w:color="auto" w:fill="606060"/>
        </w:rPr>
      </w:pPr>
      <w:r>
        <w:rPr>
          <w:rFonts w:ascii="Times New Roman" w:eastAsia="Times New Roman" w:hAnsi="Times New Roman" w:cs="Times New Roman"/>
        </w:rPr>
        <w:t>After creating a Uniswap v3 position, some LPs use that position as collateral on lending protocols such as Aave to borrow additional assets. They then invest those borrowed funds into another liquidity position, allowing them to earn fees on a larger amount of capital. This strategy, often called a leverage loop, can significantly increase returns if markets remain stable. However, it also increases risk because Aave still evaluates the collateral using fixed LTV rules. These rules do not account for how quickly impermanent loss can reduce the value of a Uniswap v3 LP position during periods of high volatility, creating the liquidation problem explored in this paper</w:t>
      </w:r>
      <w:r>
        <w:rPr>
          <w:rFonts w:ascii="Times New Roman" w:eastAsia="Times New Roman" w:hAnsi="Times New Roman" w:cs="Times New Roman"/>
          <w:sz w:val="24"/>
          <w:szCs w:val="24"/>
        </w:rPr>
        <w:t>.</w:t>
      </w:r>
      <w:r>
        <w:rPr>
          <w:rFonts w:ascii="Times New Roman" w:eastAsia="Times New Roman" w:hAnsi="Times New Roman" w:cs="Times New Roman"/>
          <w:sz w:val="24"/>
          <w:szCs w:val="24"/>
          <w:shd w:val="clear" w:color="auto" w:fill="606060"/>
        </w:rPr>
        <w:t xml:space="preserve"> </w:t>
      </w:r>
    </w:p>
    <w:p w14:paraId="09A1907B" w14:textId="77777777" w:rsidR="00DC1115" w:rsidRDefault="00000000">
      <w:pPr>
        <w:pStyle w:val="Heading2"/>
        <w:rPr>
          <w:rFonts w:ascii="Times New Roman" w:eastAsia="Times New Roman" w:hAnsi="Times New Roman" w:cs="Times New Roman"/>
          <w:shd w:val="clear" w:color="auto" w:fill="606060"/>
        </w:rPr>
      </w:pPr>
      <w:r>
        <w:rPr>
          <w:rFonts w:ascii="Times New Roman" w:eastAsia="Times New Roman" w:hAnsi="Times New Roman" w:cs="Times New Roman"/>
        </w:rPr>
        <w:t>2.2 DeFi Lending Protocols</w:t>
      </w:r>
      <w:r>
        <w:rPr>
          <w:rFonts w:ascii="Times New Roman" w:eastAsia="Times New Roman" w:hAnsi="Times New Roman" w:cs="Times New Roman"/>
          <w:shd w:val="clear" w:color="auto" w:fill="606060"/>
        </w:rPr>
        <w:t xml:space="preserve"> </w:t>
      </w:r>
    </w:p>
    <w:p w14:paraId="1630717D" w14:textId="77777777" w:rsidR="00DC1115" w:rsidRDefault="00000000" w:rsidP="00F0454B">
      <w:pPr>
        <w:shd w:val="clear" w:color="auto" w:fill="FFFFFF"/>
        <w:ind w:firstLine="720"/>
        <w:rPr>
          <w:rFonts w:ascii="Times New Roman" w:eastAsia="Times New Roman" w:hAnsi="Times New Roman" w:cs="Times New Roman"/>
          <w:shd w:val="clear" w:color="auto" w:fill="606060"/>
        </w:rPr>
      </w:pPr>
      <w:r>
        <w:rPr>
          <w:rFonts w:ascii="Times New Roman" w:eastAsia="Times New Roman" w:hAnsi="Times New Roman" w:cs="Times New Roman"/>
        </w:rPr>
        <w:t>DeFi lending protocols such as Aave and Compound allow users to borrow cryptocurrency without going through a bank or credit check. Instead, borrowers deposit cryptocurrency as collateral and then borrow another asset against it. Other users supply assets to lending pools and earn interest, while borrowers pay interest on their loans.</w:t>
      </w:r>
      <w:r>
        <w:rPr>
          <w:rFonts w:ascii="Times New Roman" w:eastAsia="Times New Roman" w:hAnsi="Times New Roman" w:cs="Times New Roman"/>
          <w:shd w:val="clear" w:color="auto" w:fill="606060"/>
        </w:rPr>
        <w:t xml:space="preserve"> </w:t>
      </w:r>
    </w:p>
    <w:p w14:paraId="3B6CF235" w14:textId="77777777" w:rsidR="00B86292" w:rsidRDefault="00000000" w:rsidP="00F0454B">
      <w:pPr>
        <w:shd w:val="clear" w:color="auto" w:fill="FFFFFF"/>
        <w:ind w:firstLine="720"/>
        <w:rPr>
          <w:rFonts w:ascii="Times New Roman" w:eastAsia="Times New Roman" w:hAnsi="Times New Roman" w:cs="Times New Roman"/>
        </w:rPr>
      </w:pPr>
      <w:r>
        <w:rPr>
          <w:rFonts w:ascii="Times New Roman" w:eastAsia="Times New Roman" w:hAnsi="Times New Roman" w:cs="Times New Roman"/>
        </w:rPr>
        <w:t xml:space="preserve">To reduce risk, these protocols require over-collateralization. This means users must deposit more value than they borrow. This extra collateral helps protect lenders if the value of the collateral falls. The amount a user can borrow is determined by the LTV ratio. The LTV sets the maximum percentage of a position's value that can be borrowed. For volatile assets such as ETH, protocols like Aave typically allow an LTV between 65% and 82% [8]. This means a user can borrow up to 65–82% of the current value of their collateral. </w:t>
      </w:r>
    </w:p>
    <w:p w14:paraId="5B7E81BB" w14:textId="48B0A313" w:rsidR="00DC1115" w:rsidRDefault="00000000" w:rsidP="00F0454B">
      <w:pPr>
        <w:shd w:val="clear" w:color="auto" w:fill="FFFFFF"/>
        <w:ind w:firstLine="720"/>
        <w:rPr>
          <w:rFonts w:ascii="Times New Roman" w:eastAsia="Times New Roman" w:hAnsi="Times New Roman" w:cs="Times New Roman"/>
          <w:shd w:val="clear" w:color="auto" w:fill="606060"/>
        </w:rPr>
      </w:pPr>
      <w:r>
        <w:rPr>
          <w:rFonts w:ascii="Times New Roman" w:eastAsia="Times New Roman" w:hAnsi="Times New Roman" w:cs="Times New Roman"/>
        </w:rPr>
        <w:t>Lending protocols also use a Liquidation Threshold, which is slightly higher than the LTV, usually around 70–85% and creates a buffer [8]. To monitor the safety of a loan, protocols calculate a value called the health factor (HF):</w:t>
      </w:r>
      <w:r>
        <w:rPr>
          <w:rFonts w:ascii="Times New Roman" w:eastAsia="Times New Roman" w:hAnsi="Times New Roman" w:cs="Times New Roman"/>
          <w:shd w:val="clear" w:color="auto" w:fill="606060"/>
        </w:rPr>
        <w:t xml:space="preserve"> </w:t>
      </w:r>
    </w:p>
    <w:p w14:paraId="1F43BB0D" w14:textId="77777777" w:rsidR="00DC1115" w:rsidRDefault="00000000">
      <w:pPr>
        <w:shd w:val="clear" w:color="auto" w:fill="FFFFFF"/>
        <w:spacing w:after="160"/>
        <w:rPr>
          <w:rFonts w:ascii="Times New Roman" w:eastAsia="Times New Roman" w:hAnsi="Times New Roman" w:cs="Times New Roman"/>
          <w:shd w:val="clear" w:color="auto" w:fill="606060"/>
        </w:rPr>
      </w:pPr>
      <w:r>
        <w:rPr>
          <w:rFonts w:ascii="Times New Roman" w:eastAsia="Times New Roman" w:hAnsi="Times New Roman" w:cs="Times New Roman"/>
        </w:rPr>
        <w:t xml:space="preserve">  HF = (Vc × LT) / Vd</w:t>
      </w:r>
      <w:r>
        <w:rPr>
          <w:rFonts w:ascii="Times New Roman" w:eastAsia="Times New Roman" w:hAnsi="Times New Roman" w:cs="Times New Roman"/>
          <w:shd w:val="clear" w:color="auto" w:fill="606060"/>
        </w:rPr>
        <w:t xml:space="preserve"> </w:t>
      </w:r>
    </w:p>
    <w:p w14:paraId="046BAC94" w14:textId="77777777" w:rsidR="00DC1115" w:rsidRDefault="00000000">
      <w:pPr>
        <w:shd w:val="clear" w:color="auto" w:fill="FFFFFF"/>
        <w:spacing w:after="160"/>
        <w:rPr>
          <w:rFonts w:ascii="Times New Roman" w:eastAsia="Times New Roman" w:hAnsi="Times New Roman" w:cs="Times New Roman"/>
          <w:shd w:val="clear" w:color="auto" w:fill="606060"/>
        </w:rPr>
      </w:pPr>
      <w:r>
        <w:rPr>
          <w:rFonts w:ascii="Times New Roman" w:eastAsia="Times New Roman" w:hAnsi="Times New Roman" w:cs="Times New Roman"/>
        </w:rPr>
        <w:t>where:</w:t>
      </w:r>
      <w:r>
        <w:rPr>
          <w:rFonts w:ascii="Times New Roman" w:eastAsia="Times New Roman" w:hAnsi="Times New Roman" w:cs="Times New Roman"/>
          <w:shd w:val="clear" w:color="auto" w:fill="606060"/>
        </w:rPr>
        <w:t xml:space="preserve"> </w:t>
      </w:r>
    </w:p>
    <w:p w14:paraId="31C86EDA" w14:textId="77777777" w:rsidR="00DC1115" w:rsidRDefault="00000000">
      <w:pPr>
        <w:numPr>
          <w:ilvl w:val="0"/>
          <w:numId w:val="11"/>
        </w:numPr>
        <w:ind w:left="1080"/>
        <w:rPr>
          <w:rFonts w:ascii="Times New Roman" w:eastAsia="Times New Roman" w:hAnsi="Times New Roman" w:cs="Times New Roman"/>
        </w:rPr>
      </w:pPr>
      <w:r>
        <w:rPr>
          <w:rFonts w:ascii="Times New Roman" w:eastAsia="Times New Roman" w:hAnsi="Times New Roman" w:cs="Times New Roman"/>
        </w:rPr>
        <w:t>Vc = current value of the collateral,</w:t>
      </w:r>
      <w:r>
        <w:rPr>
          <w:rFonts w:ascii="Times New Roman" w:eastAsia="Times New Roman" w:hAnsi="Times New Roman" w:cs="Times New Roman"/>
          <w:shd w:val="clear" w:color="auto" w:fill="606060"/>
        </w:rPr>
        <w:t xml:space="preserve"> </w:t>
      </w:r>
    </w:p>
    <w:p w14:paraId="715166CD" w14:textId="77777777" w:rsidR="00DC1115" w:rsidRDefault="00000000">
      <w:pPr>
        <w:numPr>
          <w:ilvl w:val="0"/>
          <w:numId w:val="9"/>
        </w:numPr>
        <w:ind w:left="1080"/>
        <w:rPr>
          <w:rFonts w:ascii="Times New Roman" w:eastAsia="Times New Roman" w:hAnsi="Times New Roman" w:cs="Times New Roman"/>
        </w:rPr>
      </w:pPr>
      <w:r>
        <w:rPr>
          <w:rFonts w:ascii="Times New Roman" w:eastAsia="Times New Roman" w:hAnsi="Times New Roman" w:cs="Times New Roman"/>
        </w:rPr>
        <w:t>LT = liquidation threshold,</w:t>
      </w:r>
      <w:r>
        <w:rPr>
          <w:rFonts w:ascii="Times New Roman" w:eastAsia="Times New Roman" w:hAnsi="Times New Roman" w:cs="Times New Roman"/>
          <w:shd w:val="clear" w:color="auto" w:fill="606060"/>
        </w:rPr>
        <w:t xml:space="preserve"> </w:t>
      </w:r>
    </w:p>
    <w:p w14:paraId="5AE1BCDC" w14:textId="77777777" w:rsidR="00DC1115" w:rsidRDefault="00000000">
      <w:pPr>
        <w:numPr>
          <w:ilvl w:val="0"/>
          <w:numId w:val="6"/>
        </w:numPr>
        <w:ind w:left="1080"/>
        <w:rPr>
          <w:rFonts w:ascii="Times New Roman" w:eastAsia="Times New Roman" w:hAnsi="Times New Roman" w:cs="Times New Roman"/>
        </w:rPr>
      </w:pPr>
      <w:r>
        <w:rPr>
          <w:rFonts w:ascii="Times New Roman" w:eastAsia="Times New Roman" w:hAnsi="Times New Roman" w:cs="Times New Roman"/>
        </w:rPr>
        <w:t>Vd = value of the borrowed assets.</w:t>
      </w:r>
      <w:r>
        <w:rPr>
          <w:rFonts w:ascii="Times New Roman" w:eastAsia="Times New Roman" w:hAnsi="Times New Roman" w:cs="Times New Roman"/>
          <w:shd w:val="clear" w:color="auto" w:fill="606060"/>
        </w:rPr>
        <w:t xml:space="preserve"> </w:t>
      </w:r>
    </w:p>
    <w:p w14:paraId="21171D77" w14:textId="77777777" w:rsidR="00DC1115" w:rsidRDefault="00DC1115">
      <w:pPr>
        <w:shd w:val="clear" w:color="auto" w:fill="FFFFFF"/>
        <w:ind w:left="720"/>
        <w:rPr>
          <w:rFonts w:ascii="Times New Roman" w:eastAsia="Times New Roman" w:hAnsi="Times New Roman" w:cs="Times New Roman"/>
          <w:shd w:val="clear" w:color="auto" w:fill="606060"/>
        </w:rPr>
      </w:pPr>
    </w:p>
    <w:p w14:paraId="0ED21408" w14:textId="77777777" w:rsidR="00DC1115" w:rsidRDefault="00000000" w:rsidP="00B86292">
      <w:pPr>
        <w:shd w:val="clear" w:color="auto" w:fill="FFFFFF"/>
        <w:ind w:firstLine="720"/>
        <w:rPr>
          <w:rFonts w:ascii="Times New Roman" w:eastAsia="Times New Roman" w:hAnsi="Times New Roman" w:cs="Times New Roman"/>
          <w:shd w:val="clear" w:color="auto" w:fill="606060"/>
        </w:rPr>
      </w:pPr>
      <w:r>
        <w:rPr>
          <w:rFonts w:ascii="Times New Roman" w:eastAsia="Times New Roman" w:hAnsi="Times New Roman" w:cs="Times New Roman"/>
        </w:rPr>
        <w:t>If HF is greater than or equal to 1, the position is considered safe. If HF falls below 1, the position can be liquidated. During liquidation, part or all the collateral is sold to repay the debt and protect lenders. The liquidator receives a portion of the borrower’s collateral as a reward, typically 5–15% [11].</w:t>
      </w:r>
    </w:p>
    <w:p w14:paraId="2C573A6B" w14:textId="77777777" w:rsidR="00DC1115" w:rsidRDefault="00000000" w:rsidP="00B86292">
      <w:pPr>
        <w:shd w:val="clear" w:color="auto" w:fill="FFFFFF"/>
        <w:ind w:firstLine="720"/>
        <w:rPr>
          <w:rFonts w:ascii="Times New Roman" w:eastAsia="Times New Roman" w:hAnsi="Times New Roman" w:cs="Times New Roman"/>
          <w:shd w:val="clear" w:color="auto" w:fill="606060"/>
        </w:rPr>
      </w:pPr>
      <w:r>
        <w:rPr>
          <w:rFonts w:ascii="Times New Roman" w:eastAsia="Times New Roman" w:hAnsi="Times New Roman" w:cs="Times New Roman"/>
        </w:rPr>
        <w:t>While this system works well for simple forms of collateral such as ETH or stablecoins, it becomes much more complicated when Uniswap v3 LP positions are used as collateral. Unlike regular crypto assets, the value of an LP position can change rapidly because of impermanent loss. As prices move, the value of the position may decline much faster than the protocol would expect.</w:t>
      </w:r>
    </w:p>
    <w:p w14:paraId="2968E799" w14:textId="77777777" w:rsidR="00DC1115" w:rsidRDefault="00000000" w:rsidP="00B86292">
      <w:pPr>
        <w:shd w:val="clear" w:color="auto" w:fill="FFFFFF"/>
        <w:ind w:firstLine="720"/>
        <w:rPr>
          <w:rFonts w:ascii="Times New Roman" w:eastAsia="Times New Roman" w:hAnsi="Times New Roman" w:cs="Times New Roman"/>
          <w:shd w:val="clear" w:color="auto" w:fill="606060"/>
        </w:rPr>
      </w:pPr>
      <w:r>
        <w:rPr>
          <w:rFonts w:ascii="Times New Roman" w:eastAsia="Times New Roman" w:hAnsi="Times New Roman" w:cs="Times New Roman"/>
        </w:rPr>
        <w:t>The problem is that fixed LTV rules do not adjust for this risk. Most decentralized lending protocols use the same borrowing limits regardless of market conditions. During major market events, such as the FTX collapse or the October 2025 liquidation event, impermanent loss can quickly push a position's health factor below 1. Once this happens, the position may be fully liquidated, even if it could have recovered later.</w:t>
      </w:r>
    </w:p>
    <w:p w14:paraId="3889B26C" w14:textId="77777777" w:rsidR="00DC1115" w:rsidRDefault="00000000" w:rsidP="00B86292">
      <w:pPr>
        <w:shd w:val="clear" w:color="auto" w:fill="FFFFFF"/>
        <w:ind w:firstLine="720"/>
        <w:rPr>
          <w:rFonts w:ascii="Times New Roman" w:eastAsia="Times New Roman" w:hAnsi="Times New Roman" w:cs="Times New Roman"/>
          <w:sz w:val="24"/>
          <w:szCs w:val="24"/>
          <w:shd w:val="clear" w:color="auto" w:fill="606060"/>
        </w:rPr>
      </w:pPr>
      <w:r>
        <w:rPr>
          <w:rFonts w:ascii="Times New Roman" w:eastAsia="Times New Roman" w:hAnsi="Times New Roman" w:cs="Times New Roman"/>
        </w:rPr>
        <w:t>As a result, many liquidity providers are forced to over-collateralize their positions to avoid liquidation. Others are liquidated too early and lose access to future yield farming fees because their liquidity positions are removed from the pool. These issues make DeFi lending less efficient for complex collateral such as Uniswap v3 LP positions than for simpler assets like ETH or stablecoins.</w:t>
      </w:r>
      <w:r>
        <w:rPr>
          <w:rFonts w:ascii="Times New Roman" w:eastAsia="Times New Roman" w:hAnsi="Times New Roman" w:cs="Times New Roman"/>
          <w:sz w:val="24"/>
          <w:szCs w:val="24"/>
          <w:shd w:val="clear" w:color="auto" w:fill="606060"/>
        </w:rPr>
        <w:t xml:space="preserve"> </w:t>
      </w:r>
    </w:p>
    <w:p w14:paraId="158EAAE9" w14:textId="77777777" w:rsidR="00DC1115" w:rsidRDefault="00000000">
      <w:pPr>
        <w:pStyle w:val="Heading2"/>
        <w:rPr>
          <w:rFonts w:ascii="Times New Roman" w:eastAsia="Times New Roman" w:hAnsi="Times New Roman" w:cs="Times New Roman"/>
          <w:shd w:val="clear" w:color="auto" w:fill="606060"/>
        </w:rPr>
      </w:pPr>
      <w:r>
        <w:rPr>
          <w:rFonts w:ascii="Times New Roman" w:eastAsia="Times New Roman" w:hAnsi="Times New Roman" w:cs="Times New Roman"/>
        </w:rPr>
        <w:t>2.3 Traditional Finance Portfolio Margining</w:t>
      </w:r>
      <w:r>
        <w:rPr>
          <w:rFonts w:ascii="Times New Roman" w:eastAsia="Times New Roman" w:hAnsi="Times New Roman" w:cs="Times New Roman"/>
          <w:shd w:val="clear" w:color="auto" w:fill="606060"/>
        </w:rPr>
        <w:t xml:space="preserve"> </w:t>
      </w:r>
    </w:p>
    <w:p w14:paraId="1D3F5FAC" w14:textId="77777777" w:rsidR="00DC1115" w:rsidRDefault="00000000" w:rsidP="00B86292">
      <w:pPr>
        <w:shd w:val="clear" w:color="auto" w:fill="FFFFFF"/>
        <w:ind w:firstLine="720"/>
        <w:rPr>
          <w:rFonts w:ascii="Times New Roman" w:eastAsia="Times New Roman" w:hAnsi="Times New Roman" w:cs="Times New Roman"/>
          <w:shd w:val="clear" w:color="auto" w:fill="606060"/>
        </w:rPr>
      </w:pPr>
      <w:r>
        <w:rPr>
          <w:rFonts w:ascii="Times New Roman" w:eastAsia="Times New Roman" w:hAnsi="Times New Roman" w:cs="Times New Roman"/>
        </w:rPr>
        <w:t>In traditional finance, investors can borrow money to trade stocks, options, and other assets using margin. Unlike most DeFi lending protocols, brokers do not rely on a single fixed borrowing limit. Instead, many use portfolio margining. This method evaluates the risk of an entire portfolio rather than individual positions [12].</w:t>
      </w:r>
      <w:r>
        <w:rPr>
          <w:rFonts w:ascii="Times New Roman" w:eastAsia="Times New Roman" w:hAnsi="Times New Roman" w:cs="Times New Roman"/>
          <w:shd w:val="clear" w:color="auto" w:fill="606060"/>
        </w:rPr>
        <w:t xml:space="preserve"> </w:t>
      </w:r>
    </w:p>
    <w:p w14:paraId="234617B6" w14:textId="77777777" w:rsidR="00DC1115" w:rsidRDefault="00000000" w:rsidP="00B86292">
      <w:pPr>
        <w:shd w:val="clear" w:color="auto" w:fill="FFFFFF"/>
        <w:ind w:firstLine="720"/>
        <w:rPr>
          <w:rFonts w:ascii="Times New Roman" w:eastAsia="Times New Roman" w:hAnsi="Times New Roman" w:cs="Times New Roman"/>
          <w:shd w:val="clear" w:color="auto" w:fill="606060"/>
        </w:rPr>
      </w:pPr>
      <w:r>
        <w:rPr>
          <w:rFonts w:ascii="Times New Roman" w:eastAsia="Times New Roman" w:hAnsi="Times New Roman" w:cs="Times New Roman"/>
        </w:rPr>
        <w:t>Portfolio margining relies on stress testing. Computers simulate different market conditions by applying a series of price and volatility shocks to a portfolio. For example, a broker might test what happens if an asset's price moves ±3%, ±6%, ±9%, ±12%, or ±15% (NYSE Rule 431(g)(2)(G)). The portfolio is then evaluated under each scenario, and the worst projected loss is used to determine the required margin [15].</w:t>
      </w:r>
      <w:r>
        <w:rPr>
          <w:rFonts w:ascii="Times New Roman" w:eastAsia="Times New Roman" w:hAnsi="Times New Roman" w:cs="Times New Roman"/>
          <w:shd w:val="clear" w:color="auto" w:fill="606060"/>
        </w:rPr>
        <w:t xml:space="preserve"> </w:t>
      </w:r>
    </w:p>
    <w:p w14:paraId="53086CDE" w14:textId="77777777" w:rsidR="00DC1115" w:rsidRDefault="00000000" w:rsidP="00B86292">
      <w:pPr>
        <w:shd w:val="clear" w:color="auto" w:fill="FFFFFF"/>
        <w:ind w:firstLine="720"/>
        <w:rPr>
          <w:rFonts w:ascii="Times New Roman" w:eastAsia="Times New Roman" w:hAnsi="Times New Roman" w:cs="Times New Roman"/>
          <w:shd w:val="clear" w:color="auto" w:fill="606060"/>
        </w:rPr>
      </w:pPr>
      <w:r>
        <w:rPr>
          <w:rFonts w:ascii="Times New Roman" w:eastAsia="Times New Roman" w:hAnsi="Times New Roman" w:cs="Times New Roman"/>
        </w:rPr>
        <w:t>This approach is useful because it captures risks that are not linear. In options trading, losses can accelerate as prices move further from expectations. A similar effect occurs in Uniswap v3, where impermanent loss can increase rapidly once the price moves outside an LP's chosen range. By testing multiple price scenarios, portfolio margin systems are better able to account for these risks.</w:t>
      </w:r>
      <w:r>
        <w:rPr>
          <w:rFonts w:ascii="Times New Roman" w:eastAsia="Times New Roman" w:hAnsi="Times New Roman" w:cs="Times New Roman"/>
          <w:shd w:val="clear" w:color="auto" w:fill="606060"/>
        </w:rPr>
        <w:t xml:space="preserve"> </w:t>
      </w:r>
    </w:p>
    <w:p w14:paraId="054572FE" w14:textId="77777777" w:rsidR="00DC1115" w:rsidRDefault="00000000" w:rsidP="00B86292">
      <w:pPr>
        <w:shd w:val="clear" w:color="auto" w:fill="FFFFFF"/>
        <w:ind w:firstLine="720"/>
        <w:rPr>
          <w:rFonts w:ascii="Times New Roman" w:eastAsia="Times New Roman" w:hAnsi="Times New Roman" w:cs="Times New Roman"/>
          <w:shd w:val="clear" w:color="auto" w:fill="606060"/>
        </w:rPr>
      </w:pPr>
      <w:r>
        <w:rPr>
          <w:rFonts w:ascii="Times New Roman" w:eastAsia="Times New Roman" w:hAnsi="Times New Roman" w:cs="Times New Roman"/>
        </w:rPr>
        <w:t>Another advantage is flexibility. In traditional finance, margin requirements are updated as market conditions change. If risk increases, brokers may require additional collateral or reduce exposure gradually. Full liquidation is usually a last resort. Most decentralized protocols, however, rely on LTV limits and liquidate positions once a threshold is crossed.</w:t>
      </w:r>
      <w:r>
        <w:rPr>
          <w:rFonts w:ascii="Times New Roman" w:eastAsia="Times New Roman" w:hAnsi="Times New Roman" w:cs="Times New Roman"/>
          <w:shd w:val="clear" w:color="auto" w:fill="606060"/>
        </w:rPr>
        <w:t xml:space="preserve"> </w:t>
      </w:r>
    </w:p>
    <w:tbl>
      <w:tblPr>
        <w:tblStyle w:val="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38"/>
        <w:gridCol w:w="2471"/>
        <w:gridCol w:w="2455"/>
        <w:gridCol w:w="2896"/>
      </w:tblGrid>
      <w:tr w:rsidR="00DC1115" w14:paraId="659CDD01" w14:textId="77777777">
        <w:trPr>
          <w:tblHeader/>
        </w:trPr>
        <w:tc>
          <w:tcPr>
            <w:tcW w:w="1538" w:type="dxa"/>
            <w:tcBorders>
              <w:top w:val="single" w:sz="4" w:space="0" w:color="000000"/>
              <w:left w:val="single" w:sz="4" w:space="0" w:color="000000"/>
              <w:bottom w:val="single" w:sz="4" w:space="0" w:color="000000"/>
              <w:right w:val="single" w:sz="4" w:space="0" w:color="000000"/>
            </w:tcBorders>
            <w:shd w:val="clear" w:color="auto" w:fill="FFFFFF"/>
            <w:tcMar>
              <w:top w:w="60" w:type="dxa"/>
              <w:left w:w="90" w:type="dxa"/>
              <w:bottom w:w="60" w:type="dxa"/>
              <w:right w:w="90" w:type="dxa"/>
            </w:tcMar>
          </w:tcPr>
          <w:p w14:paraId="545934CB" w14:textId="77777777" w:rsidR="00DC1115" w:rsidRDefault="00000000">
            <w:pPr>
              <w:rPr>
                <w:rFonts w:ascii="Times New Roman" w:eastAsia="Times New Roman" w:hAnsi="Times New Roman" w:cs="Times New Roman"/>
              </w:rPr>
            </w:pPr>
            <w:r>
              <w:rPr>
                <w:rFonts w:ascii="Times New Roman" w:eastAsia="Times New Roman" w:hAnsi="Times New Roman" w:cs="Times New Roman"/>
                <w:b/>
                <w:bCs/>
              </w:rPr>
              <w:t>Feature</w:t>
            </w:r>
          </w:p>
        </w:tc>
        <w:tc>
          <w:tcPr>
            <w:tcW w:w="2471" w:type="dxa"/>
            <w:tcBorders>
              <w:top w:val="single" w:sz="4" w:space="0" w:color="000000"/>
              <w:left w:val="single" w:sz="4" w:space="0" w:color="000000"/>
              <w:bottom w:val="single" w:sz="4" w:space="0" w:color="000000"/>
              <w:right w:val="single" w:sz="4" w:space="0" w:color="000000"/>
            </w:tcBorders>
            <w:shd w:val="clear" w:color="auto" w:fill="FFFFFF"/>
            <w:tcMar>
              <w:top w:w="60" w:type="dxa"/>
              <w:left w:w="90" w:type="dxa"/>
              <w:bottom w:w="60" w:type="dxa"/>
              <w:right w:w="90" w:type="dxa"/>
            </w:tcMar>
          </w:tcPr>
          <w:p w14:paraId="7D4B2443" w14:textId="77777777" w:rsidR="00DC1115" w:rsidRDefault="00000000">
            <w:pPr>
              <w:rPr>
                <w:rFonts w:ascii="Times New Roman" w:eastAsia="Times New Roman" w:hAnsi="Times New Roman" w:cs="Times New Roman"/>
              </w:rPr>
            </w:pPr>
            <w:r>
              <w:rPr>
                <w:rFonts w:ascii="Times New Roman" w:eastAsia="Times New Roman" w:hAnsi="Times New Roman" w:cs="Times New Roman"/>
                <w:b/>
                <w:bCs/>
              </w:rPr>
              <w:t>DeFi Fixed LTV (Aave / Compound)</w:t>
            </w:r>
          </w:p>
        </w:tc>
        <w:tc>
          <w:tcPr>
            <w:tcW w:w="2455" w:type="dxa"/>
            <w:tcBorders>
              <w:top w:val="single" w:sz="4" w:space="0" w:color="000000"/>
              <w:left w:val="single" w:sz="4" w:space="0" w:color="000000"/>
              <w:bottom w:val="single" w:sz="4" w:space="0" w:color="000000"/>
              <w:right w:val="single" w:sz="4" w:space="0" w:color="000000"/>
            </w:tcBorders>
            <w:shd w:val="clear" w:color="auto" w:fill="FFFFFF"/>
            <w:tcMar>
              <w:top w:w="60" w:type="dxa"/>
              <w:left w:w="90" w:type="dxa"/>
              <w:bottom w:w="60" w:type="dxa"/>
              <w:right w:w="90" w:type="dxa"/>
            </w:tcMar>
          </w:tcPr>
          <w:p w14:paraId="46BB1A59" w14:textId="77777777" w:rsidR="00DC1115" w:rsidRDefault="00000000">
            <w:pPr>
              <w:rPr>
                <w:rFonts w:ascii="Times New Roman" w:eastAsia="Times New Roman" w:hAnsi="Times New Roman" w:cs="Times New Roman"/>
              </w:rPr>
            </w:pPr>
            <w:r>
              <w:rPr>
                <w:rFonts w:ascii="Times New Roman" w:eastAsia="Times New Roman" w:hAnsi="Times New Roman" w:cs="Times New Roman"/>
                <w:b/>
                <w:bCs/>
              </w:rPr>
              <w:t>TradFi Portfolio Margin</w:t>
            </w:r>
          </w:p>
        </w:tc>
        <w:tc>
          <w:tcPr>
            <w:tcW w:w="2896" w:type="dxa"/>
            <w:tcBorders>
              <w:top w:val="single" w:sz="4" w:space="0" w:color="000000"/>
              <w:left w:val="single" w:sz="4" w:space="0" w:color="000000"/>
              <w:bottom w:val="single" w:sz="4" w:space="0" w:color="000000"/>
              <w:right w:val="single" w:sz="4" w:space="0" w:color="000000"/>
            </w:tcBorders>
            <w:shd w:val="clear" w:color="auto" w:fill="FFFFFF"/>
            <w:tcMar>
              <w:top w:w="60" w:type="dxa"/>
              <w:left w:w="90" w:type="dxa"/>
              <w:bottom w:w="60" w:type="dxa"/>
              <w:right w:w="90" w:type="dxa"/>
            </w:tcMar>
          </w:tcPr>
          <w:p w14:paraId="12EE937D" w14:textId="77777777" w:rsidR="00DC1115" w:rsidRDefault="00000000">
            <w:pPr>
              <w:rPr>
                <w:rFonts w:ascii="Times New Roman" w:eastAsia="Times New Roman" w:hAnsi="Times New Roman" w:cs="Times New Roman"/>
              </w:rPr>
            </w:pPr>
            <w:r>
              <w:rPr>
                <w:rFonts w:ascii="Times New Roman" w:eastAsia="Times New Roman" w:hAnsi="Times New Roman" w:cs="Times New Roman"/>
                <w:b/>
                <w:bCs/>
              </w:rPr>
              <w:t>What it means for Uniswap v3 LPs</w:t>
            </w:r>
          </w:p>
        </w:tc>
      </w:tr>
      <w:tr w:rsidR="00DC1115" w14:paraId="7DDD8044" w14:textId="77777777">
        <w:tc>
          <w:tcPr>
            <w:tcW w:w="153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4DD74ADA" w14:textId="77777777" w:rsidR="00DC1115" w:rsidRDefault="00000000">
            <w:pPr>
              <w:rPr>
                <w:rFonts w:ascii="Times New Roman" w:eastAsia="Times New Roman" w:hAnsi="Times New Roman" w:cs="Times New Roman"/>
              </w:rPr>
            </w:pPr>
            <w:r>
              <w:rPr>
                <w:rFonts w:ascii="Times New Roman" w:eastAsia="Times New Roman" w:hAnsi="Times New Roman" w:cs="Times New Roman"/>
              </w:rPr>
              <w:t>Calculation method</w:t>
            </w:r>
          </w:p>
        </w:tc>
        <w:tc>
          <w:tcPr>
            <w:tcW w:w="247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575F5EB7" w14:textId="77777777" w:rsidR="00DC1115" w:rsidRDefault="00000000">
            <w:pPr>
              <w:rPr>
                <w:rFonts w:ascii="Times New Roman" w:eastAsia="Times New Roman" w:hAnsi="Times New Roman" w:cs="Times New Roman"/>
              </w:rPr>
            </w:pPr>
            <w:r>
              <w:rPr>
                <w:rFonts w:ascii="Times New Roman" w:eastAsia="Times New Roman" w:hAnsi="Times New Roman" w:cs="Times New Roman"/>
              </w:rPr>
              <w:t>One fixed borrowing limit (e.g., 65–82% LTV for ETH).</w:t>
            </w:r>
          </w:p>
        </w:tc>
        <w:tc>
          <w:tcPr>
            <w:tcW w:w="245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00C1844D" w14:textId="77777777" w:rsidR="00DC1115" w:rsidRDefault="00000000">
            <w:pPr>
              <w:rPr>
                <w:rFonts w:ascii="Times New Roman" w:eastAsia="Times New Roman" w:hAnsi="Times New Roman" w:cs="Times New Roman"/>
              </w:rPr>
            </w:pPr>
            <w:r>
              <w:rPr>
                <w:rFonts w:ascii="Times New Roman" w:eastAsia="Times New Roman" w:hAnsi="Times New Roman" w:cs="Times New Roman"/>
              </w:rPr>
              <w:t>Stress-tests the whole portfolio at many price levels; margin is set by the worst-case loss.</w:t>
            </w:r>
          </w:p>
        </w:tc>
        <w:tc>
          <w:tcPr>
            <w:tcW w:w="28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1AFD2E14" w14:textId="77777777" w:rsidR="00DC1115" w:rsidRDefault="00000000">
            <w:pPr>
              <w:rPr>
                <w:rFonts w:ascii="Times New Roman" w:eastAsia="Times New Roman" w:hAnsi="Times New Roman" w:cs="Times New Roman"/>
              </w:rPr>
            </w:pPr>
            <w:r>
              <w:rPr>
                <w:rFonts w:ascii="Times New Roman" w:eastAsia="Times New Roman" w:hAnsi="Times New Roman" w:cs="Times New Roman"/>
              </w:rPr>
              <w:t>Captures impermanent loss risk better, so fewer surprise liquidations.</w:t>
            </w:r>
          </w:p>
        </w:tc>
      </w:tr>
      <w:tr w:rsidR="00DC1115" w14:paraId="73EAD0C4" w14:textId="77777777">
        <w:tc>
          <w:tcPr>
            <w:tcW w:w="153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58EB597" w14:textId="77777777" w:rsidR="00DC1115" w:rsidRDefault="00000000">
            <w:pPr>
              <w:rPr>
                <w:rFonts w:ascii="Times New Roman" w:eastAsia="Times New Roman" w:hAnsi="Times New Roman" w:cs="Times New Roman"/>
              </w:rPr>
            </w:pPr>
            <w:r>
              <w:rPr>
                <w:rFonts w:ascii="Times New Roman" w:eastAsia="Times New Roman" w:hAnsi="Times New Roman" w:cs="Times New Roman"/>
              </w:rPr>
              <w:lastRenderedPageBreak/>
              <w:t>Adjustment frequency</w:t>
            </w:r>
          </w:p>
        </w:tc>
        <w:tc>
          <w:tcPr>
            <w:tcW w:w="247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ED92DE8" w14:textId="77777777" w:rsidR="00DC1115" w:rsidRDefault="00000000">
            <w:pPr>
              <w:rPr>
                <w:rFonts w:ascii="Times New Roman" w:eastAsia="Times New Roman" w:hAnsi="Times New Roman" w:cs="Times New Roman"/>
              </w:rPr>
            </w:pPr>
            <w:r>
              <w:rPr>
                <w:rFonts w:ascii="Times New Roman" w:eastAsia="Times New Roman" w:hAnsi="Times New Roman" w:cs="Times New Roman"/>
              </w:rPr>
              <w:t>Stays the same until the liquidation threshold is crossed.</w:t>
            </w:r>
          </w:p>
        </w:tc>
        <w:tc>
          <w:tcPr>
            <w:tcW w:w="245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2CC30522" w14:textId="77777777" w:rsidR="00DC1115" w:rsidRDefault="00000000">
            <w:pPr>
              <w:rPr>
                <w:rFonts w:ascii="Times New Roman" w:eastAsia="Times New Roman" w:hAnsi="Times New Roman" w:cs="Times New Roman"/>
              </w:rPr>
            </w:pPr>
            <w:r>
              <w:rPr>
                <w:rFonts w:ascii="Times New Roman" w:eastAsia="Times New Roman" w:hAnsi="Times New Roman" w:cs="Times New Roman"/>
              </w:rPr>
              <w:t>Recalculated regularly as prices and volatility change.</w:t>
            </w:r>
          </w:p>
        </w:tc>
        <w:tc>
          <w:tcPr>
            <w:tcW w:w="28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50A8B9C0" w14:textId="77777777" w:rsidR="00DC1115" w:rsidRDefault="00000000">
            <w:pPr>
              <w:rPr>
                <w:rFonts w:ascii="Times New Roman" w:eastAsia="Times New Roman" w:hAnsi="Times New Roman" w:cs="Times New Roman"/>
              </w:rPr>
            </w:pPr>
            <w:r>
              <w:rPr>
                <w:rFonts w:ascii="Times New Roman" w:eastAsia="Times New Roman" w:hAnsi="Times New Roman" w:cs="Times New Roman"/>
              </w:rPr>
              <w:t>Lets the system react before a position becomes unsafe.</w:t>
            </w:r>
          </w:p>
        </w:tc>
      </w:tr>
      <w:tr w:rsidR="00DC1115" w14:paraId="0E70A4C6" w14:textId="77777777">
        <w:tc>
          <w:tcPr>
            <w:tcW w:w="153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1257DD20" w14:textId="77777777" w:rsidR="00DC1115" w:rsidRDefault="00000000">
            <w:pPr>
              <w:rPr>
                <w:rFonts w:ascii="Times New Roman" w:eastAsia="Times New Roman" w:hAnsi="Times New Roman" w:cs="Times New Roman"/>
              </w:rPr>
            </w:pPr>
            <w:r>
              <w:rPr>
                <w:rFonts w:ascii="Times New Roman" w:eastAsia="Times New Roman" w:hAnsi="Times New Roman" w:cs="Times New Roman"/>
              </w:rPr>
              <w:t>Liquidation style</w:t>
            </w:r>
          </w:p>
        </w:tc>
        <w:tc>
          <w:tcPr>
            <w:tcW w:w="247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4FCADA15" w14:textId="77777777" w:rsidR="00DC1115" w:rsidRDefault="00000000">
            <w:pPr>
              <w:rPr>
                <w:rFonts w:ascii="Times New Roman" w:eastAsia="Times New Roman" w:hAnsi="Times New Roman" w:cs="Times New Roman"/>
              </w:rPr>
            </w:pPr>
            <w:r>
              <w:rPr>
                <w:rFonts w:ascii="Times New Roman" w:eastAsia="Times New Roman" w:hAnsi="Times New Roman" w:cs="Times New Roman"/>
              </w:rPr>
              <w:t>Binary: the position is fully liquidated once the health factor drops below 1.</w:t>
            </w:r>
          </w:p>
        </w:tc>
        <w:tc>
          <w:tcPr>
            <w:tcW w:w="245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41D4014" w14:textId="77777777" w:rsidR="00DC1115" w:rsidRDefault="00000000">
            <w:pPr>
              <w:rPr>
                <w:rFonts w:ascii="Times New Roman" w:eastAsia="Times New Roman" w:hAnsi="Times New Roman" w:cs="Times New Roman"/>
              </w:rPr>
            </w:pPr>
            <w:r>
              <w:rPr>
                <w:rFonts w:ascii="Times New Roman" w:eastAsia="Times New Roman" w:hAnsi="Times New Roman" w:cs="Times New Roman"/>
              </w:rPr>
              <w:t>Graduated: margin calls and a short cure period first, with full liquidation as a last resort.</w:t>
            </w:r>
          </w:p>
        </w:tc>
        <w:tc>
          <w:tcPr>
            <w:tcW w:w="28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6130210C" w14:textId="77777777" w:rsidR="00DC1115" w:rsidRDefault="00000000">
            <w:pPr>
              <w:rPr>
                <w:rFonts w:ascii="Times New Roman" w:eastAsia="Times New Roman" w:hAnsi="Times New Roman" w:cs="Times New Roman"/>
              </w:rPr>
            </w:pPr>
            <w:r>
              <w:rPr>
                <w:rFonts w:ascii="Times New Roman" w:eastAsia="Times New Roman" w:hAnsi="Times New Roman" w:cs="Times New Roman"/>
              </w:rPr>
              <w:t>Positions can survive volatility and keep earning fees instead of being wiped out.</w:t>
            </w:r>
          </w:p>
        </w:tc>
      </w:tr>
      <w:tr w:rsidR="00DC1115" w14:paraId="4389FC41" w14:textId="77777777">
        <w:tc>
          <w:tcPr>
            <w:tcW w:w="153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126E0A7D" w14:textId="77777777" w:rsidR="00DC1115" w:rsidRDefault="00000000">
            <w:pPr>
              <w:rPr>
                <w:rFonts w:ascii="Times New Roman" w:eastAsia="Times New Roman" w:hAnsi="Times New Roman" w:cs="Times New Roman"/>
              </w:rPr>
            </w:pPr>
            <w:r>
              <w:rPr>
                <w:rFonts w:ascii="Times New Roman" w:eastAsia="Times New Roman" w:hAnsi="Times New Roman" w:cs="Times New Roman"/>
              </w:rPr>
              <w:t>Non-linear (impermanent loss) risk</w:t>
            </w:r>
          </w:p>
        </w:tc>
        <w:tc>
          <w:tcPr>
            <w:tcW w:w="247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2295069F" w14:textId="77777777" w:rsidR="00DC1115" w:rsidRDefault="00000000">
            <w:pPr>
              <w:rPr>
                <w:rFonts w:ascii="Times New Roman" w:eastAsia="Times New Roman" w:hAnsi="Times New Roman" w:cs="Times New Roman"/>
              </w:rPr>
            </w:pPr>
            <w:r>
              <w:rPr>
                <w:rFonts w:ascii="Times New Roman" w:eastAsia="Times New Roman" w:hAnsi="Times New Roman" w:cs="Times New Roman"/>
              </w:rPr>
              <w:t>Ignored; treats the position's value as if it changes in a straight line.</w:t>
            </w:r>
          </w:p>
        </w:tc>
        <w:tc>
          <w:tcPr>
            <w:tcW w:w="245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4A2BD7DB" w14:textId="77777777" w:rsidR="00DC1115" w:rsidRDefault="00000000">
            <w:pPr>
              <w:rPr>
                <w:rFonts w:ascii="Times New Roman" w:eastAsia="Times New Roman" w:hAnsi="Times New Roman" w:cs="Times New Roman"/>
              </w:rPr>
            </w:pPr>
            <w:r>
              <w:rPr>
                <w:rFonts w:ascii="Times New Roman" w:eastAsia="Times New Roman" w:hAnsi="Times New Roman" w:cs="Times New Roman"/>
              </w:rPr>
              <w:t>Captured by testing several price points along the curve.</w:t>
            </w:r>
          </w:p>
        </w:tc>
        <w:tc>
          <w:tcPr>
            <w:tcW w:w="28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0F04BB16" w14:textId="77777777" w:rsidR="00DC1115" w:rsidRDefault="00000000">
            <w:pPr>
              <w:rPr>
                <w:rFonts w:ascii="Times New Roman" w:eastAsia="Times New Roman" w:hAnsi="Times New Roman" w:cs="Times New Roman"/>
              </w:rPr>
            </w:pPr>
            <w:r>
              <w:rPr>
                <w:rFonts w:ascii="Times New Roman" w:eastAsia="Times New Roman" w:hAnsi="Times New Roman" w:cs="Times New Roman"/>
              </w:rPr>
              <w:t>Important for concentrated v3 positions, where IL accelerates outside the chosen range.</w:t>
            </w:r>
          </w:p>
        </w:tc>
      </w:tr>
      <w:tr w:rsidR="00DC1115" w14:paraId="463DF0F5" w14:textId="77777777">
        <w:tc>
          <w:tcPr>
            <w:tcW w:w="153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1F9F2B79" w14:textId="77777777" w:rsidR="00DC1115" w:rsidRDefault="00000000">
            <w:pPr>
              <w:rPr>
                <w:rFonts w:ascii="Times New Roman" w:eastAsia="Times New Roman" w:hAnsi="Times New Roman" w:cs="Times New Roman"/>
              </w:rPr>
            </w:pPr>
            <w:r>
              <w:rPr>
                <w:rFonts w:ascii="Times New Roman" w:eastAsia="Times New Roman" w:hAnsi="Times New Roman" w:cs="Times New Roman"/>
              </w:rPr>
              <w:t>Leverage allowed</w:t>
            </w:r>
          </w:p>
        </w:tc>
        <w:tc>
          <w:tcPr>
            <w:tcW w:w="247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8537CFA" w14:textId="77777777" w:rsidR="00DC1115" w:rsidRDefault="00000000">
            <w:pPr>
              <w:rPr>
                <w:rFonts w:ascii="Times New Roman" w:eastAsia="Times New Roman" w:hAnsi="Times New Roman" w:cs="Times New Roman"/>
              </w:rPr>
            </w:pPr>
            <w:r>
              <w:rPr>
                <w:rFonts w:ascii="Times New Roman" w:eastAsia="Times New Roman" w:hAnsi="Times New Roman" w:cs="Times New Roman"/>
              </w:rPr>
              <w:t>Usually low (about 1.2–1.8x after over-collateralization).</w:t>
            </w:r>
          </w:p>
        </w:tc>
        <w:tc>
          <w:tcPr>
            <w:tcW w:w="245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75EE4940" w14:textId="77777777" w:rsidR="00DC1115" w:rsidRDefault="00000000">
            <w:pPr>
              <w:rPr>
                <w:rFonts w:ascii="Times New Roman" w:eastAsia="Times New Roman" w:hAnsi="Times New Roman" w:cs="Times New Roman"/>
              </w:rPr>
            </w:pPr>
            <w:r>
              <w:rPr>
                <w:rFonts w:ascii="Times New Roman" w:eastAsia="Times New Roman" w:hAnsi="Times New Roman" w:cs="Times New Roman"/>
              </w:rPr>
              <w:t>Often higher for lower-risk, diversified positions.</w:t>
            </w:r>
          </w:p>
        </w:tc>
        <w:tc>
          <w:tcPr>
            <w:tcW w:w="28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517D1290" w14:textId="77777777" w:rsidR="00DC1115" w:rsidRDefault="00000000">
            <w:pPr>
              <w:rPr>
                <w:rFonts w:ascii="Times New Roman" w:eastAsia="Times New Roman" w:hAnsi="Times New Roman" w:cs="Times New Roman"/>
              </w:rPr>
            </w:pPr>
            <w:r>
              <w:rPr>
                <w:rFonts w:ascii="Times New Roman" w:eastAsia="Times New Roman" w:hAnsi="Times New Roman" w:cs="Times New Roman"/>
              </w:rPr>
              <w:t>Safer higher leverage could let LPs earn more without adding excess risk.</w:t>
            </w:r>
          </w:p>
        </w:tc>
      </w:tr>
    </w:tbl>
    <w:p w14:paraId="5151CE41" w14:textId="77777777" w:rsidR="00DC1115" w:rsidRDefault="00DC1115">
      <w:pPr>
        <w:shd w:val="clear" w:color="auto" w:fill="FFFFFF"/>
        <w:spacing w:after="160"/>
        <w:ind w:firstLine="720"/>
        <w:rPr>
          <w:rFonts w:ascii="Times New Roman" w:eastAsia="Times New Roman" w:hAnsi="Times New Roman" w:cs="Times New Roman"/>
          <w:sz w:val="24"/>
          <w:szCs w:val="24"/>
          <w:shd w:val="clear" w:color="auto" w:fill="606060"/>
        </w:rPr>
      </w:pPr>
    </w:p>
    <w:p w14:paraId="4A6278FE" w14:textId="77777777" w:rsidR="00DC1115" w:rsidRDefault="00000000">
      <w:pPr>
        <w:shd w:val="clear" w:color="auto" w:fill="FFFFFF"/>
        <w:spacing w:after="160"/>
        <w:ind w:firstLine="720"/>
        <w:rPr>
          <w:rFonts w:ascii="Times New Roman" w:eastAsia="Times New Roman" w:hAnsi="Times New Roman" w:cs="Times New Roman"/>
          <w:sz w:val="24"/>
          <w:szCs w:val="24"/>
          <w:shd w:val="clear" w:color="auto" w:fill="606060"/>
        </w:rPr>
      </w:pPr>
      <w:r>
        <w:rPr>
          <w:rFonts w:ascii="Times New Roman" w:eastAsia="Times New Roman" w:hAnsi="Times New Roman" w:cs="Times New Roman"/>
        </w:rPr>
        <w:t>Because of these differences, portfolio margining can often support higher leverage while reducing unnecessary liquidations. This makes it a useful model for DeFi lending protocols that accept Uniswap v3 LP positions as collateral. By incorporating stress testing and dynamic risk management, protocols may be able to better account for impermanent loss, reduce over-collateralization, and allow LPs to keep earning yield farming fees during volatile markets.</w:t>
      </w:r>
      <w:r>
        <w:rPr>
          <w:rFonts w:ascii="Times New Roman" w:eastAsia="Times New Roman" w:hAnsi="Times New Roman" w:cs="Times New Roman"/>
          <w:sz w:val="24"/>
          <w:szCs w:val="24"/>
          <w:shd w:val="clear" w:color="auto" w:fill="606060"/>
        </w:rPr>
        <w:t xml:space="preserve"> </w:t>
      </w:r>
    </w:p>
    <w:p w14:paraId="3EC878E6" w14:textId="77777777" w:rsidR="00DC1115" w:rsidRDefault="00C6398E">
      <w:pPr>
        <w:pStyle w:val="Heading1"/>
        <w:rPr>
          <w:rFonts w:ascii="Times New Roman" w:eastAsia="Times New Roman" w:hAnsi="Times New Roman" w:cs="Times New Roman"/>
          <w:b/>
          <w:bCs/>
          <w:shd w:val="clear" w:color="auto" w:fill="606060"/>
        </w:rPr>
      </w:pPr>
      <w:r>
        <w:rPr>
          <w:rFonts w:ascii="Times New Roman" w:eastAsia="Times New Roman" w:hAnsi="Times New Roman" w:cs="Times New Roman"/>
          <w:b/>
          <w:bCs/>
        </w:rPr>
        <w:t>3. Methodology</w:t>
      </w:r>
      <w:r>
        <w:rPr>
          <w:rFonts w:ascii="Times New Roman" w:eastAsia="Times New Roman" w:hAnsi="Times New Roman" w:cs="Times New Roman"/>
          <w:b/>
          <w:bCs/>
          <w:shd w:val="clear" w:color="auto" w:fill="606060"/>
        </w:rPr>
        <w:t xml:space="preserve"> </w:t>
      </w:r>
    </w:p>
    <w:p w14:paraId="2BD2D41E" w14:textId="77777777" w:rsidR="00DC1115" w:rsidRDefault="00000000">
      <w:pPr>
        <w:pStyle w:val="Heading2"/>
        <w:rPr>
          <w:rFonts w:ascii="Times New Roman" w:eastAsia="Times New Roman" w:hAnsi="Times New Roman" w:cs="Times New Roman"/>
          <w:shd w:val="clear" w:color="auto" w:fill="606060"/>
        </w:rPr>
      </w:pPr>
      <w:r>
        <w:rPr>
          <w:rFonts w:ascii="Times New Roman" w:eastAsia="Times New Roman" w:hAnsi="Times New Roman" w:cs="Times New Roman"/>
        </w:rPr>
        <w:t>3.1 Data Sources</w:t>
      </w:r>
      <w:r>
        <w:rPr>
          <w:rFonts w:ascii="Times New Roman" w:eastAsia="Times New Roman" w:hAnsi="Times New Roman" w:cs="Times New Roman"/>
          <w:shd w:val="clear" w:color="auto" w:fill="606060"/>
        </w:rPr>
        <w:t xml:space="preserve"> </w:t>
      </w:r>
    </w:p>
    <w:p w14:paraId="52203E17" w14:textId="77777777" w:rsidR="00DC1115" w:rsidRDefault="00000000" w:rsidP="00B86292">
      <w:pPr>
        <w:shd w:val="clear" w:color="auto" w:fill="FFFFFF"/>
        <w:ind w:firstLine="720"/>
        <w:rPr>
          <w:rFonts w:ascii="Times New Roman" w:eastAsia="Times New Roman" w:hAnsi="Times New Roman" w:cs="Times New Roman"/>
          <w:shd w:val="clear" w:color="auto" w:fill="606060"/>
        </w:rPr>
      </w:pPr>
      <w:r>
        <w:rPr>
          <w:rFonts w:ascii="Times New Roman" w:eastAsia="Times New Roman" w:hAnsi="Times New Roman" w:cs="Times New Roman"/>
        </w:rPr>
        <w:t>To test how Uniswap v3 liquidity provider positions perform under both fixed DeFi lending rules and a TradFi-inspired margin system, we used daily ETH/USD closing prices from 2015 to 2025, giving more than 3,800 data points. Because USDC is designed to stay close to $1, ETH/USD serves as a reasonable proxy for ETH/USDC prices.</w:t>
      </w:r>
      <w:r>
        <w:rPr>
          <w:rFonts w:ascii="Times New Roman" w:eastAsia="Times New Roman" w:hAnsi="Times New Roman" w:cs="Times New Roman"/>
          <w:shd w:val="clear" w:color="auto" w:fill="606060"/>
        </w:rPr>
        <w:t xml:space="preserve"> </w:t>
      </w:r>
    </w:p>
    <w:p w14:paraId="39FAE53A" w14:textId="77777777" w:rsidR="00DC1115" w:rsidRDefault="00000000" w:rsidP="00B86292">
      <w:pPr>
        <w:shd w:val="clear" w:color="auto" w:fill="FFFFFF"/>
        <w:ind w:firstLine="720"/>
        <w:rPr>
          <w:rFonts w:ascii="Times New Roman" w:eastAsia="Times New Roman" w:hAnsi="Times New Roman" w:cs="Times New Roman"/>
          <w:shd w:val="clear" w:color="auto" w:fill="606060"/>
        </w:rPr>
      </w:pPr>
      <w:r>
        <w:rPr>
          <w:rFonts w:ascii="Times New Roman" w:eastAsia="Times New Roman" w:hAnsi="Times New Roman" w:cs="Times New Roman"/>
        </w:rPr>
        <w:t>This time period includes several major market events, including the 2021 bull market, the May 2021 crash, the FTX collapse in November 2022, and the October 2025 liquidation event. Using a long price history allowed us to test how both models performed across different market conditions.</w:t>
      </w:r>
      <w:r>
        <w:rPr>
          <w:rFonts w:ascii="Times New Roman" w:eastAsia="Times New Roman" w:hAnsi="Times New Roman" w:cs="Times New Roman"/>
          <w:shd w:val="clear" w:color="auto" w:fill="606060"/>
        </w:rPr>
        <w:t xml:space="preserve"> </w:t>
      </w:r>
    </w:p>
    <w:p w14:paraId="6938B8FC" w14:textId="77777777" w:rsidR="00DC1115" w:rsidRDefault="00000000" w:rsidP="00B86292">
      <w:pPr>
        <w:shd w:val="clear" w:color="auto" w:fill="FFFFFF"/>
        <w:ind w:firstLine="720"/>
        <w:rPr>
          <w:rFonts w:ascii="Times New Roman" w:eastAsia="Times New Roman" w:hAnsi="Times New Roman" w:cs="Times New Roman"/>
          <w:shd w:val="clear" w:color="auto" w:fill="606060"/>
        </w:rPr>
      </w:pPr>
      <w:r>
        <w:rPr>
          <w:rFonts w:ascii="Times New Roman" w:eastAsia="Times New Roman" w:hAnsi="Times New Roman" w:cs="Times New Roman"/>
        </w:rPr>
        <w:t xml:space="preserve">The dataset contained only daily closing prices. To estimate daily price changes, we treated each day's closing price as the following day's opening price </w:t>
      </w:r>
      <w:r w:rsidRPr="006B1F48">
        <w:rPr>
          <w:rFonts w:ascii="Times New Roman" w:eastAsia="Times New Roman" w:hAnsi="Times New Roman" w:cs="Times New Roman"/>
        </w:rPr>
        <w:t>[13].</w:t>
      </w:r>
      <w:r>
        <w:rPr>
          <w:rFonts w:ascii="Times New Roman" w:eastAsia="Times New Roman" w:hAnsi="Times New Roman" w:cs="Times New Roman"/>
        </w:rPr>
        <w:t xml:space="preserve"> Although this does not capture intraday price movements, it provides a reasonable approximation for a long-term simulation focused on liquidation behavior rather than minute-by-minute trading.</w:t>
      </w:r>
      <w:r>
        <w:rPr>
          <w:rFonts w:ascii="Times New Roman" w:eastAsia="Times New Roman" w:hAnsi="Times New Roman" w:cs="Times New Roman"/>
          <w:shd w:val="clear" w:color="auto" w:fill="606060"/>
        </w:rPr>
        <w:t xml:space="preserve"> </w:t>
      </w:r>
    </w:p>
    <w:p w14:paraId="401D905C" w14:textId="77777777" w:rsidR="00DC1115" w:rsidRDefault="00000000" w:rsidP="00B86292">
      <w:pPr>
        <w:shd w:val="clear" w:color="auto" w:fill="FFFFFF"/>
        <w:ind w:firstLine="720"/>
        <w:rPr>
          <w:rFonts w:ascii="Times New Roman" w:eastAsia="Times New Roman" w:hAnsi="Times New Roman" w:cs="Times New Roman"/>
          <w:sz w:val="24"/>
          <w:szCs w:val="24"/>
          <w:shd w:val="clear" w:color="auto" w:fill="606060"/>
        </w:rPr>
      </w:pPr>
      <w:r>
        <w:rPr>
          <w:rFonts w:ascii="Times New Roman" w:eastAsia="Times New Roman" w:hAnsi="Times New Roman" w:cs="Times New Roman"/>
        </w:rPr>
        <w:lastRenderedPageBreak/>
        <w:t>Price data was collected from CoinGecko and cross-checked with Yahoo Finance during major market events. Additional liquidation statistics were referenced from sources such as DefiLlama and CoinGlass [9], but all results reported in this paper were generated from our own simulations</w:t>
      </w:r>
      <w:r>
        <w:rPr>
          <w:rFonts w:ascii="Times New Roman" w:eastAsia="Times New Roman" w:hAnsi="Times New Roman" w:cs="Times New Roman"/>
          <w:sz w:val="24"/>
          <w:szCs w:val="24"/>
        </w:rPr>
        <w:t>.</w:t>
      </w:r>
      <w:r>
        <w:rPr>
          <w:rFonts w:ascii="Times New Roman" w:eastAsia="Times New Roman" w:hAnsi="Times New Roman" w:cs="Times New Roman"/>
          <w:sz w:val="24"/>
          <w:szCs w:val="24"/>
          <w:shd w:val="clear" w:color="auto" w:fill="606060"/>
        </w:rPr>
        <w:t xml:space="preserve"> </w:t>
      </w:r>
    </w:p>
    <w:p w14:paraId="4937FA14" w14:textId="77777777" w:rsidR="00DC1115" w:rsidRDefault="00000000">
      <w:pPr>
        <w:pStyle w:val="Heading2"/>
        <w:rPr>
          <w:rFonts w:ascii="Times New Roman" w:eastAsia="Times New Roman" w:hAnsi="Times New Roman" w:cs="Times New Roman"/>
          <w:shd w:val="clear" w:color="auto" w:fill="606060"/>
        </w:rPr>
      </w:pPr>
      <w:r>
        <w:rPr>
          <w:rFonts w:ascii="Times New Roman" w:eastAsia="Times New Roman" w:hAnsi="Times New Roman" w:cs="Times New Roman"/>
        </w:rPr>
        <w:t>3.2 DeFi Simulation</w:t>
      </w:r>
      <w:r>
        <w:rPr>
          <w:rFonts w:ascii="Times New Roman" w:eastAsia="Times New Roman" w:hAnsi="Times New Roman" w:cs="Times New Roman"/>
          <w:shd w:val="clear" w:color="auto" w:fill="606060"/>
        </w:rPr>
        <w:t xml:space="preserve"> </w:t>
      </w:r>
    </w:p>
    <w:p w14:paraId="0381B73F" w14:textId="77777777" w:rsidR="00DC1115" w:rsidRDefault="00000000" w:rsidP="00B86292">
      <w:pPr>
        <w:shd w:val="clear" w:color="auto" w:fill="FFFFFF"/>
        <w:ind w:firstLine="720"/>
        <w:rPr>
          <w:rFonts w:ascii="Times New Roman" w:eastAsia="Times New Roman" w:hAnsi="Times New Roman" w:cs="Times New Roman"/>
          <w:shd w:val="clear" w:color="auto" w:fill="606060"/>
        </w:rPr>
      </w:pPr>
      <w:r>
        <w:rPr>
          <w:rFonts w:ascii="Times New Roman" w:eastAsia="Times New Roman" w:hAnsi="Times New Roman" w:cs="Times New Roman"/>
        </w:rPr>
        <w:t xml:space="preserve">To model how DeFi lending protocols such as Aave and Compound handle LP positions, we built a simulation using fixed LTV rules and real historical ETH prices. The model was implemented in Python using standard scientific libraries (such as pandas and NumPy), and the complete code and dataset are publicly available in the project’s GitHub </w:t>
      </w:r>
      <w:r w:rsidRPr="00D13562">
        <w:rPr>
          <w:rFonts w:ascii="Times New Roman" w:eastAsia="Times New Roman" w:hAnsi="Times New Roman" w:cs="Times New Roman"/>
        </w:rPr>
        <w:t xml:space="preserve">repository [13]. </w:t>
      </w:r>
      <w:r>
        <w:rPr>
          <w:rFonts w:ascii="Times New Roman" w:eastAsia="Times New Roman" w:hAnsi="Times New Roman" w:cs="Times New Roman"/>
        </w:rPr>
        <w:t>The goal was to measure how often Uniswap v3 LP positions would be liquidated under a traditional DeFi lending system.</w:t>
      </w:r>
      <w:r>
        <w:rPr>
          <w:rFonts w:ascii="Times New Roman" w:eastAsia="Times New Roman" w:hAnsi="Times New Roman" w:cs="Times New Roman"/>
          <w:shd w:val="clear" w:color="auto" w:fill="606060"/>
        </w:rPr>
        <w:t xml:space="preserve"> </w:t>
      </w:r>
    </w:p>
    <w:p w14:paraId="225FA788" w14:textId="77777777" w:rsidR="00DC1115" w:rsidRDefault="00000000" w:rsidP="00B86292">
      <w:pPr>
        <w:shd w:val="clear" w:color="auto" w:fill="FFFFFF"/>
        <w:ind w:firstLine="720"/>
        <w:rPr>
          <w:rFonts w:ascii="Times New Roman" w:eastAsia="Times New Roman" w:hAnsi="Times New Roman" w:cs="Times New Roman"/>
          <w:color w:val="000000"/>
        </w:rPr>
      </w:pPr>
      <w:r>
        <w:rPr>
          <w:rFonts w:ascii="Times New Roman" w:eastAsia="Times New Roman" w:hAnsi="Times New Roman" w:cs="Times New Roman"/>
          <w:color w:val="000000"/>
        </w:rPr>
        <w:t xml:space="preserve">We simulated 500 LP positions with different deposit sizes and liquidity ranges. To measure how positions withstand a single trading day, we rebuilt the pool of 500 positions fresh each day, using that day’s opening price to create a position. Because the dataset sets each day’s opening price equal to the previous day’s close, positions are always created at the real market price rather than a fixed assumed level. The same random seed is used for both models, so the DeFi and hybrid simulations work on identical price and position data. </w:t>
      </w:r>
    </w:p>
    <w:p w14:paraId="4AAAD65C" w14:textId="77777777" w:rsidR="00DC1115" w:rsidRDefault="00000000" w:rsidP="00B86292">
      <w:pPr>
        <w:shd w:val="clear" w:color="auto" w:fill="FFFFFF"/>
        <w:ind w:firstLine="720"/>
        <w:rPr>
          <w:rFonts w:ascii="Times New Roman" w:eastAsia="Times New Roman" w:hAnsi="Times New Roman" w:cs="Times New Roman"/>
          <w:color w:val="000000"/>
        </w:rPr>
      </w:pPr>
      <w:r>
        <w:rPr>
          <w:rFonts w:ascii="Times New Roman" w:eastAsia="Times New Roman" w:hAnsi="Times New Roman" w:cs="Times New Roman"/>
          <w:color w:val="000000"/>
        </w:rPr>
        <w:t>Initial deposits were randomly generated between $6,000 and $10,000 and allocated between ETH and USDC using a randomized split (30–70% ETH). The ETH/USDC split for each position was chosen at random, but this is a minor modeling detail: once a position is opened within its price range, how much of each token it holds is mostly determined by where the current price falls in that range. The random split simply produces a mix of ETH-heavy and USDC-heavy positions.</w:t>
      </w:r>
    </w:p>
    <w:p w14:paraId="16EE6BFA" w14:textId="77777777" w:rsidR="00DC1115" w:rsidRDefault="00000000" w:rsidP="00B86292">
      <w:pPr>
        <w:shd w:val="clear" w:color="auto" w:fill="FFFFFF"/>
        <w:ind w:firstLine="720"/>
        <w:rPr>
          <w:rFonts w:ascii="Times New Roman" w:eastAsia="Times New Roman" w:hAnsi="Times New Roman" w:cs="Times New Roman"/>
          <w:color w:val="000000"/>
        </w:rPr>
      </w:pPr>
      <w:r>
        <w:rPr>
          <w:rFonts w:ascii="Times New Roman" w:eastAsia="Times New Roman" w:hAnsi="Times New Roman" w:cs="Times New Roman"/>
          <w:color w:val="000000"/>
        </w:rPr>
        <w:t>Each position was given a price range between ±10% and ±60% around its opening price. This is a deliberately wide, conservative choice. In practice, most ETH/USDC liquidity providers use much tighter ranges, and a large share of real positions sit out of range at any given time</w:t>
      </w:r>
      <w:r w:rsidRPr="00C92828">
        <w:rPr>
          <w:rFonts w:ascii="Times New Roman" w:eastAsia="Times New Roman" w:hAnsi="Times New Roman" w:cs="Times New Roman"/>
        </w:rPr>
        <w:t xml:space="preserve"> [14].</w:t>
      </w:r>
      <w:r>
        <w:rPr>
          <w:rFonts w:ascii="Times New Roman" w:eastAsia="Times New Roman" w:hAnsi="Times New Roman" w:cs="Times New Roman"/>
          <w:color w:val="000000"/>
        </w:rPr>
        <w:t xml:space="preserve"> Because our positions use a range, the results probably understate how often tightly-ranged positions real world would actually be liquidated.</w:t>
      </w:r>
    </w:p>
    <w:p w14:paraId="53B12684" w14:textId="77777777" w:rsidR="00DC1115" w:rsidRDefault="00000000">
      <w:pPr>
        <w:shd w:val="clear" w:color="auto" w:fill="FFFFFF"/>
        <w:spacing w:after="160"/>
        <w:ind w:firstLine="720"/>
        <w:rPr>
          <w:rFonts w:ascii="Times New Roman" w:eastAsia="Times New Roman" w:hAnsi="Times New Roman" w:cs="Times New Roman"/>
          <w:shd w:val="clear" w:color="auto" w:fill="606060"/>
        </w:rPr>
      </w:pPr>
      <w:r>
        <w:rPr>
          <w:rFonts w:ascii="Times New Roman" w:eastAsia="Times New Roman" w:hAnsi="Times New Roman" w:cs="Times New Roman"/>
        </w:rPr>
        <w:t>Each position borrowed against its collateral using a fixed 65% LTV, which is similar to the borrowing limits commonly used for volatile assets on protocols such as Aave [8].</w:t>
      </w:r>
      <w:r>
        <w:rPr>
          <w:rFonts w:ascii="Times New Roman" w:eastAsia="Times New Roman" w:hAnsi="Times New Roman" w:cs="Times New Roman"/>
          <w:shd w:val="clear" w:color="auto" w:fill="606060"/>
        </w:rPr>
        <w:t xml:space="preserve"> </w:t>
      </w:r>
    </w:p>
    <w:p w14:paraId="4E1F87D8" w14:textId="77777777" w:rsidR="00DC1115" w:rsidRDefault="00000000">
      <w:pPr>
        <w:shd w:val="clear" w:color="auto" w:fill="FFFFFF"/>
        <w:spacing w:after="160"/>
        <w:ind w:firstLine="720"/>
        <w:rPr>
          <w:rFonts w:ascii="Times New Roman" w:eastAsia="Times New Roman" w:hAnsi="Times New Roman" w:cs="Times New Roman"/>
          <w:sz w:val="24"/>
          <w:szCs w:val="24"/>
          <w:shd w:val="clear" w:color="auto" w:fill="606060"/>
        </w:rPr>
      </w:pPr>
      <w:r>
        <w:rPr>
          <w:rFonts w:ascii="Times New Roman" w:eastAsia="Times New Roman" w:hAnsi="Times New Roman" w:cs="Times New Roman"/>
        </w:rPr>
        <w:t xml:space="preserve">To determine whether a position remained safe, we calculated its health factor using a 70% liquidation threshold. If a position’s health factor fell below 1, it was considered eligible for liquidation. The simulation then applied Aave-style liquidation rules, including a 50% close factor and a 10% liquidation bonus. </w:t>
      </w:r>
      <w:r>
        <w:rPr>
          <w:rFonts w:ascii="Times New Roman" w:eastAsia="Times New Roman" w:hAnsi="Times New Roman" w:cs="Times New Roman"/>
          <w:color w:val="000000"/>
        </w:rPr>
        <w:t xml:space="preserve">Each daily run was evaluated from that day’s opening price to its closing price, and this was repeated across all 3,800+ days of historical price data, giving a fresh set of positions and a one-day survival test for every day in the dataset. </w:t>
      </w:r>
      <w:r>
        <w:rPr>
          <w:rFonts w:ascii="Times New Roman" w:eastAsia="Times New Roman" w:hAnsi="Times New Roman" w:cs="Times New Roman"/>
        </w:rPr>
        <w:t>The simulation recorded daily liquidations, average health factors, and cumulative liquidation totals. Because the model relied entirely on fixed LTV rules and did not adjust for changing market conditions, it closely reflects how many current DeFi lending protocols operate.</w:t>
      </w:r>
      <w:r>
        <w:rPr>
          <w:rFonts w:ascii="Times New Roman" w:eastAsia="Times New Roman" w:hAnsi="Times New Roman" w:cs="Times New Roman"/>
          <w:sz w:val="24"/>
          <w:szCs w:val="24"/>
          <w:shd w:val="clear" w:color="auto" w:fill="606060"/>
        </w:rPr>
        <w:t xml:space="preserve"> </w:t>
      </w:r>
    </w:p>
    <w:p w14:paraId="2AAB46E8" w14:textId="77777777" w:rsidR="00DC1115" w:rsidRDefault="00000000">
      <w:pPr>
        <w:spacing w:after="120"/>
        <w:rPr>
          <w:rFonts w:ascii="Times New Roman" w:eastAsia="Times New Roman" w:hAnsi="Times New Roman" w:cs="Times New Roman"/>
          <w:color w:val="000000"/>
        </w:rPr>
      </w:pPr>
      <w:r>
        <w:rPr>
          <w:rFonts w:ascii="Times New Roman" w:eastAsia="Times New Roman" w:hAnsi="Times New Roman" w:cs="Times New Roman"/>
          <w:color w:val="000000"/>
        </w:rPr>
        <w:t>The simulation steps:</w:t>
      </w:r>
    </w:p>
    <w:p w14:paraId="07CBF92B" w14:textId="77777777" w:rsidR="00DC1115" w:rsidRDefault="00000000">
      <w:pPr>
        <w:numPr>
          <w:ilvl w:val="0"/>
          <w:numId w:val="4"/>
        </w:numPr>
        <w:pBdr>
          <w:top w:val="nil"/>
          <w:left w:val="nil"/>
          <w:bottom w:val="nil"/>
          <w:right w:val="nil"/>
          <w:between w:val="nil"/>
        </w:pBdr>
        <w:ind w:left="360"/>
        <w:rPr>
          <w:rFonts w:ascii="Times New Roman" w:eastAsia="Times New Roman" w:hAnsi="Times New Roman" w:cs="Times New Roman"/>
          <w:i/>
          <w:iCs/>
          <w:color w:val="000000"/>
        </w:rPr>
      </w:pPr>
      <w:r>
        <w:rPr>
          <w:rFonts w:ascii="Times New Roman" w:eastAsia="Times New Roman" w:hAnsi="Times New Roman" w:cs="Times New Roman"/>
          <w:i/>
          <w:iCs/>
          <w:color w:val="000000"/>
        </w:rPr>
        <w:t>Create positions - at the start of each day, 500 positions were created at that day’s opening price, so every position began in a realistic in-range state.</w:t>
      </w:r>
    </w:p>
    <w:p w14:paraId="372293A7" w14:textId="77777777" w:rsidR="00DC1115" w:rsidRDefault="00000000">
      <w:pPr>
        <w:numPr>
          <w:ilvl w:val="0"/>
          <w:numId w:val="4"/>
        </w:numPr>
        <w:pBdr>
          <w:top w:val="nil"/>
          <w:left w:val="nil"/>
          <w:bottom w:val="nil"/>
          <w:right w:val="nil"/>
          <w:between w:val="nil"/>
        </w:pBdr>
        <w:ind w:left="360"/>
        <w:rPr>
          <w:rFonts w:ascii="Times New Roman" w:eastAsia="Times New Roman" w:hAnsi="Times New Roman" w:cs="Times New Roman"/>
          <w:i/>
          <w:iCs/>
          <w:color w:val="000000"/>
        </w:rPr>
      </w:pPr>
      <w:r>
        <w:rPr>
          <w:rFonts w:ascii="Times New Roman" w:eastAsia="Times New Roman" w:hAnsi="Times New Roman" w:cs="Times New Roman"/>
          <w:i/>
          <w:iCs/>
          <w:color w:val="000000"/>
        </w:rPr>
        <w:lastRenderedPageBreak/>
        <w:t>Compute value (open) - each position’s collateral value was calculated at the opening price, accounting for concentrated liquidity.</w:t>
      </w:r>
    </w:p>
    <w:p w14:paraId="44874DE0" w14:textId="77777777" w:rsidR="00DC1115" w:rsidRDefault="00000000">
      <w:pPr>
        <w:numPr>
          <w:ilvl w:val="0"/>
          <w:numId w:val="4"/>
        </w:numPr>
        <w:pBdr>
          <w:top w:val="nil"/>
          <w:left w:val="nil"/>
          <w:bottom w:val="nil"/>
          <w:right w:val="nil"/>
          <w:between w:val="nil"/>
        </w:pBdr>
        <w:ind w:left="360"/>
        <w:rPr>
          <w:rFonts w:ascii="Times New Roman" w:eastAsia="Times New Roman" w:hAnsi="Times New Roman" w:cs="Times New Roman"/>
          <w:i/>
          <w:iCs/>
          <w:color w:val="000000"/>
        </w:rPr>
      </w:pPr>
      <w:r>
        <w:rPr>
          <w:rFonts w:ascii="Times New Roman" w:eastAsia="Times New Roman" w:hAnsi="Times New Roman" w:cs="Times New Roman"/>
          <w:i/>
          <w:iCs/>
          <w:color w:val="000000"/>
        </w:rPr>
        <w:t>Issue the loan - a loan was issued equal to 65% of the opening value, matching Aave’s typical borrowing limit for volatile collateral.</w:t>
      </w:r>
    </w:p>
    <w:p w14:paraId="15C36CE9" w14:textId="77777777" w:rsidR="00DC1115" w:rsidRDefault="00000000">
      <w:pPr>
        <w:numPr>
          <w:ilvl w:val="0"/>
          <w:numId w:val="4"/>
        </w:numPr>
        <w:pBdr>
          <w:top w:val="nil"/>
          <w:left w:val="nil"/>
          <w:bottom w:val="nil"/>
          <w:right w:val="nil"/>
          <w:between w:val="nil"/>
        </w:pBdr>
        <w:ind w:left="360"/>
        <w:rPr>
          <w:rFonts w:ascii="Times New Roman" w:eastAsia="Times New Roman" w:hAnsi="Times New Roman" w:cs="Times New Roman"/>
          <w:i/>
          <w:iCs/>
          <w:color w:val="000000"/>
        </w:rPr>
      </w:pPr>
      <w:r>
        <w:rPr>
          <w:rFonts w:ascii="Times New Roman" w:eastAsia="Times New Roman" w:hAnsi="Times New Roman" w:cs="Times New Roman"/>
          <w:i/>
          <w:iCs/>
          <w:color w:val="000000"/>
        </w:rPr>
        <w:t>Compute value (close) - the position was re-valued at the day’s closing price, capturing both the price move and the impermanent loss caused by the pool rebalancing between the two tokens.</w:t>
      </w:r>
    </w:p>
    <w:p w14:paraId="0535D4A8" w14:textId="77777777" w:rsidR="00DC1115" w:rsidRDefault="00000000">
      <w:pPr>
        <w:numPr>
          <w:ilvl w:val="0"/>
          <w:numId w:val="4"/>
        </w:numPr>
        <w:pBdr>
          <w:top w:val="nil"/>
          <w:left w:val="nil"/>
          <w:bottom w:val="nil"/>
          <w:right w:val="nil"/>
          <w:between w:val="nil"/>
        </w:pBdr>
        <w:ind w:left="360"/>
        <w:rPr>
          <w:rFonts w:ascii="Times New Roman" w:eastAsia="Times New Roman" w:hAnsi="Times New Roman" w:cs="Times New Roman"/>
          <w:i/>
          <w:iCs/>
          <w:color w:val="000000"/>
        </w:rPr>
      </w:pPr>
      <w:r>
        <w:rPr>
          <w:rFonts w:ascii="Times New Roman" w:eastAsia="Times New Roman" w:hAnsi="Times New Roman" w:cs="Times New Roman"/>
          <w:i/>
          <w:iCs/>
          <w:color w:val="000000"/>
        </w:rPr>
        <w:t>Compute the health factor - the health factor was computed as the closing collateral value times the 70% liquidation threshold, divided by the loan. A position with a health factor below 1 was marked for liquidation.</w:t>
      </w:r>
    </w:p>
    <w:p w14:paraId="7D2BD25F" w14:textId="77777777" w:rsidR="00DC1115" w:rsidRDefault="00000000">
      <w:pPr>
        <w:numPr>
          <w:ilvl w:val="0"/>
          <w:numId w:val="4"/>
        </w:numPr>
        <w:pBdr>
          <w:top w:val="nil"/>
          <w:left w:val="nil"/>
          <w:bottom w:val="nil"/>
          <w:right w:val="nil"/>
          <w:between w:val="nil"/>
        </w:pBdr>
        <w:ind w:left="360"/>
        <w:rPr>
          <w:rFonts w:ascii="Times New Roman" w:eastAsia="Times New Roman" w:hAnsi="Times New Roman" w:cs="Times New Roman"/>
          <w:i/>
          <w:iCs/>
          <w:color w:val="000000"/>
        </w:rPr>
      </w:pPr>
      <w:r>
        <w:rPr>
          <w:rFonts w:ascii="Times New Roman" w:eastAsia="Times New Roman" w:hAnsi="Times New Roman" w:cs="Times New Roman"/>
          <w:i/>
          <w:iCs/>
          <w:color w:val="000000"/>
        </w:rPr>
        <w:t>Apply liquidation rules - liquidated positions were closed using Aave-style parameters (a 50% close factor and a 10% liquidation bonus).</w:t>
      </w:r>
    </w:p>
    <w:p w14:paraId="15328033" w14:textId="77777777" w:rsidR="00DC1115" w:rsidRDefault="00000000">
      <w:pPr>
        <w:numPr>
          <w:ilvl w:val="0"/>
          <w:numId w:val="4"/>
        </w:numPr>
        <w:pBdr>
          <w:top w:val="nil"/>
          <w:left w:val="nil"/>
          <w:bottom w:val="nil"/>
          <w:right w:val="nil"/>
          <w:between w:val="nil"/>
        </w:pBdr>
        <w:spacing w:after="80"/>
        <w:ind w:left="360"/>
        <w:rPr>
          <w:rFonts w:ascii="Times New Roman" w:eastAsia="Times New Roman" w:hAnsi="Times New Roman" w:cs="Times New Roman"/>
          <w:i/>
          <w:iCs/>
          <w:color w:val="000000"/>
        </w:rPr>
      </w:pPr>
      <w:r>
        <w:rPr>
          <w:rFonts w:ascii="Times New Roman" w:eastAsia="Times New Roman" w:hAnsi="Times New Roman" w:cs="Times New Roman"/>
          <w:i/>
          <w:iCs/>
          <w:color w:val="000000"/>
        </w:rPr>
        <w:t>Record and repeat - daily liquidation counts, average health factors, and cumulative totals were recorded, and the process repeated for all 500 positions across every day in the dataset.</w:t>
      </w:r>
    </w:p>
    <w:p w14:paraId="4D6CD767" w14:textId="77777777" w:rsidR="00DC1115" w:rsidRDefault="00000000">
      <w:pPr>
        <w:pStyle w:val="Heading2"/>
        <w:rPr>
          <w:rFonts w:ascii="Times New Roman" w:eastAsia="Times New Roman" w:hAnsi="Times New Roman" w:cs="Times New Roman"/>
          <w:shd w:val="clear" w:color="auto" w:fill="606060"/>
        </w:rPr>
      </w:pPr>
      <w:r>
        <w:rPr>
          <w:rFonts w:ascii="Times New Roman" w:eastAsia="Times New Roman" w:hAnsi="Times New Roman" w:cs="Times New Roman"/>
        </w:rPr>
        <w:t>3.3 TradFi Inspired Hybrid-Solution</w:t>
      </w:r>
      <w:r>
        <w:rPr>
          <w:rFonts w:ascii="Times New Roman" w:eastAsia="Times New Roman" w:hAnsi="Times New Roman" w:cs="Times New Roman"/>
          <w:shd w:val="clear" w:color="auto" w:fill="606060"/>
        </w:rPr>
        <w:t xml:space="preserve"> </w:t>
      </w:r>
    </w:p>
    <w:p w14:paraId="63907111" w14:textId="77777777" w:rsidR="00DC1115" w:rsidRDefault="00000000" w:rsidP="00B86292">
      <w:pPr>
        <w:shd w:val="clear" w:color="auto" w:fill="FFFFFF"/>
        <w:ind w:firstLine="720"/>
        <w:rPr>
          <w:rFonts w:ascii="Times New Roman" w:eastAsia="Times New Roman" w:hAnsi="Times New Roman" w:cs="Times New Roman"/>
          <w:color w:val="000000"/>
          <w:shd w:val="clear" w:color="auto" w:fill="606060"/>
        </w:rPr>
      </w:pPr>
      <w:r>
        <w:rPr>
          <w:rFonts w:ascii="Times New Roman" w:eastAsia="Times New Roman" w:hAnsi="Times New Roman" w:cs="Times New Roman"/>
        </w:rPr>
        <w:t>After building the fixed-LTV DeFi model, we created a second simulation inspired by traditional finance portfolio margining. The goal was to test whether stress testing and dynamic borrowing limits could reduce unnecessary liquidations for Uniswap v3 liquidity providers</w:t>
      </w:r>
      <w:r>
        <w:rPr>
          <w:rFonts w:ascii="Times New Roman" w:eastAsia="Times New Roman" w:hAnsi="Times New Roman" w:cs="Times New Roman"/>
          <w:color w:val="000000"/>
        </w:rPr>
        <w:t xml:space="preserve">. Like the DeFi model, the hybrid was implemented in Python; it additionally uses scikit-learn for the regression step described below, and its full code is available in the same GitHub </w:t>
      </w:r>
      <w:r w:rsidRPr="00D13562">
        <w:rPr>
          <w:rFonts w:ascii="Times New Roman" w:eastAsia="Times New Roman" w:hAnsi="Times New Roman" w:cs="Times New Roman"/>
        </w:rPr>
        <w:t>repository [13].</w:t>
      </w:r>
      <w:r w:rsidRPr="00D13562">
        <w:rPr>
          <w:rFonts w:ascii="Times New Roman" w:eastAsia="Times New Roman" w:hAnsi="Times New Roman" w:cs="Times New Roman"/>
          <w:shd w:val="clear" w:color="auto" w:fill="606060"/>
        </w:rPr>
        <w:t xml:space="preserve"> </w:t>
      </w:r>
    </w:p>
    <w:p w14:paraId="374E9389" w14:textId="77777777" w:rsidR="00DC1115" w:rsidRDefault="00000000" w:rsidP="00B86292">
      <w:pPr>
        <w:shd w:val="clear" w:color="auto" w:fill="FFFFFF"/>
        <w:ind w:firstLine="720"/>
        <w:rPr>
          <w:rFonts w:ascii="Times New Roman" w:eastAsia="Times New Roman" w:hAnsi="Times New Roman" w:cs="Times New Roman"/>
          <w:shd w:val="clear" w:color="auto" w:fill="606060"/>
        </w:rPr>
      </w:pPr>
      <w:r>
        <w:rPr>
          <w:rFonts w:ascii="Times New Roman" w:eastAsia="Times New Roman" w:hAnsi="Times New Roman" w:cs="Times New Roman"/>
        </w:rPr>
        <w:t xml:space="preserve">The hybrid model used </w:t>
      </w:r>
      <w:r>
        <w:rPr>
          <w:rFonts w:ascii="Times New Roman" w:eastAsia="Times New Roman" w:hAnsi="Times New Roman" w:cs="Times New Roman"/>
          <w:color w:val="000000"/>
        </w:rPr>
        <w:t xml:space="preserve">the same seeded daily position and </w:t>
      </w:r>
      <w:r>
        <w:rPr>
          <w:rFonts w:ascii="Times New Roman" w:eastAsia="Times New Roman" w:hAnsi="Times New Roman" w:cs="Times New Roman"/>
        </w:rPr>
        <w:t>historical ETH price data as the DeFi simulation, so both models were tested on identical positions each day. Positions still began with a 65% LTV, but instead of relying on a fixed borrowing limit, the model reevaluated risk every day using a series of stress tests.</w:t>
      </w:r>
      <w:r>
        <w:rPr>
          <w:rFonts w:ascii="Times New Roman" w:eastAsia="Times New Roman" w:hAnsi="Times New Roman" w:cs="Times New Roman"/>
          <w:shd w:val="clear" w:color="auto" w:fill="606060"/>
        </w:rPr>
        <w:t xml:space="preserve"> </w:t>
      </w:r>
    </w:p>
    <w:p w14:paraId="5C7EB9FF" w14:textId="77777777" w:rsidR="00DC1115" w:rsidRDefault="00000000" w:rsidP="00B86292">
      <w:pPr>
        <w:shd w:val="clear" w:color="auto" w:fill="FFFFFF"/>
        <w:ind w:firstLine="720"/>
        <w:rPr>
          <w:rFonts w:ascii="Times New Roman" w:eastAsia="Times New Roman" w:hAnsi="Times New Roman" w:cs="Times New Roman"/>
          <w:color w:val="000000"/>
        </w:rPr>
      </w:pPr>
      <w:r>
        <w:rPr>
          <w:rFonts w:ascii="Times New Roman" w:eastAsia="Times New Roman" w:hAnsi="Times New Roman" w:cs="Times New Roman"/>
        </w:rPr>
        <w:t xml:space="preserve">If stress tests showed that a position was becoming risky, the model gradually reduced its borrowing power using a sliding-scale approach. </w:t>
      </w:r>
      <w:r>
        <w:rPr>
          <w:rFonts w:ascii="Times New Roman" w:eastAsia="Times New Roman" w:hAnsi="Times New Roman" w:cs="Times New Roman"/>
          <w:color w:val="000000"/>
        </w:rPr>
        <w:t xml:space="preserve">The reduction was based on the tiers of the worst-case projected health factor. Positions with a worst-case health factor of 1.2 or above kept the full 65% LTV; those below 1.2 were capped at 55%, those below 1.0 at 45%, and those below 0.8 at 35%. </w:t>
      </w:r>
      <w:r>
        <w:rPr>
          <w:rFonts w:ascii="Times New Roman" w:eastAsia="Times New Roman" w:hAnsi="Times New Roman" w:cs="Times New Roman"/>
        </w:rPr>
        <w:t>This reduced risk before liquidation became necessary.</w:t>
      </w:r>
      <w:r>
        <w:rPr>
          <w:rFonts w:ascii="Times New Roman" w:eastAsia="Times New Roman" w:hAnsi="Times New Roman" w:cs="Times New Roman"/>
          <w:shd w:val="clear" w:color="auto" w:fill="606060"/>
        </w:rPr>
        <w:t xml:space="preserve"> </w:t>
      </w:r>
    </w:p>
    <w:p w14:paraId="04B25391" w14:textId="77777777" w:rsidR="00DC1115" w:rsidRDefault="00000000">
      <w:pPr>
        <w:spacing w:after="120"/>
        <w:rPr>
          <w:rFonts w:ascii="Times New Roman" w:eastAsia="Times New Roman" w:hAnsi="Times New Roman" w:cs="Times New Roman"/>
          <w:color w:val="000000"/>
        </w:rPr>
      </w:pPr>
      <w:r>
        <w:rPr>
          <w:rFonts w:ascii="Times New Roman" w:eastAsia="Times New Roman" w:hAnsi="Times New Roman" w:cs="Times New Roman"/>
          <w:color w:val="000000"/>
        </w:rPr>
        <w:t>The hybrid model simulation steps:</w:t>
      </w:r>
    </w:p>
    <w:p w14:paraId="483C92AE" w14:textId="77777777" w:rsidR="00DC1115" w:rsidRDefault="00000000">
      <w:pPr>
        <w:numPr>
          <w:ilvl w:val="0"/>
          <w:numId w:val="5"/>
        </w:numPr>
        <w:pBdr>
          <w:top w:val="nil"/>
          <w:left w:val="nil"/>
          <w:bottom w:val="nil"/>
          <w:right w:val="nil"/>
          <w:between w:val="nil"/>
        </w:pBdr>
        <w:rPr>
          <w:rFonts w:ascii="Times New Roman" w:eastAsia="Times New Roman" w:hAnsi="Times New Roman" w:cs="Times New Roman"/>
          <w:i/>
          <w:iCs/>
          <w:color w:val="000000"/>
        </w:rPr>
      </w:pPr>
      <w:r>
        <w:rPr>
          <w:rFonts w:ascii="Times New Roman" w:eastAsia="Times New Roman" w:hAnsi="Times New Roman" w:cs="Times New Roman"/>
          <w:i/>
          <w:iCs/>
          <w:color w:val="000000"/>
        </w:rPr>
        <w:t>Create positions - as in the DeFi model, each position was started at the day’s opening price.</w:t>
      </w:r>
    </w:p>
    <w:p w14:paraId="56D3EF1B" w14:textId="77777777" w:rsidR="00DC1115" w:rsidRDefault="00000000">
      <w:pPr>
        <w:numPr>
          <w:ilvl w:val="0"/>
          <w:numId w:val="5"/>
        </w:numPr>
        <w:pBdr>
          <w:top w:val="nil"/>
          <w:left w:val="nil"/>
          <w:bottom w:val="nil"/>
          <w:right w:val="nil"/>
          <w:between w:val="nil"/>
        </w:pBdr>
        <w:rPr>
          <w:rFonts w:ascii="Times New Roman" w:eastAsia="Times New Roman" w:hAnsi="Times New Roman" w:cs="Times New Roman"/>
          <w:i/>
          <w:iCs/>
          <w:color w:val="000000"/>
        </w:rPr>
      </w:pPr>
      <w:sdt>
        <w:sdtPr>
          <w:tag w:val="goog_rdk_1"/>
          <w:id w:val="-679854641"/>
        </w:sdtPr>
        <w:sdtContent>
          <w:r>
            <w:rPr>
              <w:rFonts w:ascii="Times New Roman" w:eastAsia="Times New Roman" w:hAnsi="Times New Roman" w:cs="Times New Roman"/>
              <w:i/>
              <w:iCs/>
              <w:color w:val="000000"/>
            </w:rPr>
            <w:t>Run the stress tests - the position was re-valued under 11 hypothetical price shocks, from −15% to +15%, with impermanent loss recalculated in each scenario.</w:t>
          </w:r>
        </w:sdtContent>
      </w:sdt>
    </w:p>
    <w:p w14:paraId="1B88CD1B" w14:textId="77777777" w:rsidR="00DC1115" w:rsidRDefault="00000000">
      <w:pPr>
        <w:numPr>
          <w:ilvl w:val="0"/>
          <w:numId w:val="5"/>
        </w:numPr>
        <w:pBdr>
          <w:top w:val="nil"/>
          <w:left w:val="nil"/>
          <w:bottom w:val="nil"/>
          <w:right w:val="nil"/>
          <w:between w:val="nil"/>
        </w:pBdr>
        <w:rPr>
          <w:rFonts w:ascii="Times New Roman" w:eastAsia="Times New Roman" w:hAnsi="Times New Roman" w:cs="Times New Roman"/>
          <w:i/>
          <w:iCs/>
          <w:color w:val="000000"/>
        </w:rPr>
      </w:pPr>
      <w:r>
        <w:rPr>
          <w:rFonts w:ascii="Times New Roman" w:eastAsia="Times New Roman" w:hAnsi="Times New Roman" w:cs="Times New Roman"/>
          <w:i/>
          <w:iCs/>
          <w:color w:val="000000"/>
        </w:rPr>
        <w:t>Find the worst case - the lowest projected health factor across all 11 shocks was taken as the position’s worst-case risk for the day.</w:t>
      </w:r>
    </w:p>
    <w:p w14:paraId="6A3146AB" w14:textId="77777777" w:rsidR="00DC1115" w:rsidRDefault="00000000">
      <w:pPr>
        <w:numPr>
          <w:ilvl w:val="0"/>
          <w:numId w:val="5"/>
        </w:numPr>
        <w:pBdr>
          <w:top w:val="nil"/>
          <w:left w:val="nil"/>
          <w:bottom w:val="nil"/>
          <w:right w:val="nil"/>
          <w:between w:val="nil"/>
        </w:pBdr>
        <w:rPr>
          <w:rFonts w:ascii="Times New Roman" w:eastAsia="Times New Roman" w:hAnsi="Times New Roman" w:cs="Times New Roman"/>
          <w:i/>
          <w:iCs/>
          <w:color w:val="000000"/>
        </w:rPr>
      </w:pPr>
      <w:r>
        <w:rPr>
          <w:rFonts w:ascii="Times New Roman" w:eastAsia="Times New Roman" w:hAnsi="Times New Roman" w:cs="Times New Roman"/>
          <w:i/>
          <w:iCs/>
          <w:color w:val="000000"/>
        </w:rPr>
        <w:t>Set a tiered borrowing limit - the maximum allowed LTV was reduced according to that worst case: positions that stayed comfortably safe kept the full 65%, while mildly, moderately, and severely stressed positions were capped at 55%, 45%, and 35% respectively. A secondary stress-based check was also applied as a backstop</w:t>
      </w:r>
    </w:p>
    <w:p w14:paraId="7F71015B" w14:textId="77777777" w:rsidR="00DC1115" w:rsidRDefault="00000000">
      <w:pPr>
        <w:numPr>
          <w:ilvl w:val="0"/>
          <w:numId w:val="5"/>
        </w:numPr>
        <w:pBdr>
          <w:top w:val="nil"/>
          <w:left w:val="nil"/>
          <w:bottom w:val="nil"/>
          <w:right w:val="nil"/>
          <w:between w:val="nil"/>
        </w:pBdr>
        <w:rPr>
          <w:rFonts w:ascii="Times New Roman" w:eastAsia="Times New Roman" w:hAnsi="Times New Roman" w:cs="Times New Roman"/>
          <w:i/>
          <w:iCs/>
          <w:color w:val="000000"/>
        </w:rPr>
      </w:pPr>
      <w:r>
        <w:rPr>
          <w:rFonts w:ascii="Times New Roman" w:eastAsia="Times New Roman" w:hAnsi="Times New Roman" w:cs="Times New Roman"/>
          <w:i/>
          <w:iCs/>
          <w:color w:val="000000"/>
        </w:rPr>
        <w:t>Reduce leverage - if the safe loan was below the position’s current borrowing, the position was partially de-leveraged rather than fully closed.</w:t>
      </w:r>
    </w:p>
    <w:p w14:paraId="2D4E0E33" w14:textId="77777777" w:rsidR="00DC1115" w:rsidRDefault="00000000">
      <w:pPr>
        <w:numPr>
          <w:ilvl w:val="0"/>
          <w:numId w:val="5"/>
        </w:numPr>
        <w:pBdr>
          <w:top w:val="nil"/>
          <w:left w:val="nil"/>
          <w:bottom w:val="nil"/>
          <w:right w:val="nil"/>
          <w:between w:val="nil"/>
        </w:pBdr>
        <w:rPr>
          <w:rFonts w:ascii="Times New Roman" w:eastAsia="Times New Roman" w:hAnsi="Times New Roman" w:cs="Times New Roman"/>
          <w:i/>
          <w:iCs/>
          <w:color w:val="000000"/>
        </w:rPr>
      </w:pPr>
      <w:r>
        <w:rPr>
          <w:rFonts w:ascii="Times New Roman" w:eastAsia="Times New Roman" w:hAnsi="Times New Roman" w:cs="Times New Roman"/>
          <w:i/>
          <w:iCs/>
          <w:color w:val="000000"/>
        </w:rPr>
        <w:t>Confirm at the close - the position was re-valued at the closing price and its health factor checked. A full liquidation occurred only if it still fell below 1, which was rare.</w:t>
      </w:r>
    </w:p>
    <w:p w14:paraId="26838409" w14:textId="77777777" w:rsidR="00DC1115" w:rsidRDefault="00000000">
      <w:pPr>
        <w:numPr>
          <w:ilvl w:val="0"/>
          <w:numId w:val="5"/>
        </w:numPr>
        <w:pBdr>
          <w:top w:val="nil"/>
          <w:left w:val="nil"/>
          <w:bottom w:val="nil"/>
          <w:right w:val="nil"/>
          <w:between w:val="nil"/>
        </w:pBdr>
        <w:spacing w:after="80"/>
        <w:rPr>
          <w:rFonts w:ascii="Times New Roman" w:eastAsia="Times New Roman" w:hAnsi="Times New Roman" w:cs="Times New Roman"/>
          <w:i/>
          <w:iCs/>
          <w:color w:val="000000"/>
        </w:rPr>
      </w:pPr>
      <w:r>
        <w:rPr>
          <w:rFonts w:ascii="Times New Roman" w:eastAsia="Times New Roman" w:hAnsi="Times New Roman" w:cs="Times New Roman"/>
          <w:i/>
          <w:iCs/>
          <w:color w:val="000000"/>
        </w:rPr>
        <w:lastRenderedPageBreak/>
        <w:t>Record and repeat - reductions applied, health factors, and effective LTVs were recorded for all 500 positions across every day.</w:t>
      </w:r>
    </w:p>
    <w:p w14:paraId="1E6D0804" w14:textId="77777777" w:rsidR="00DC1115" w:rsidRDefault="00000000">
      <w:pPr>
        <w:shd w:val="clear" w:color="auto" w:fill="FFFFFF"/>
        <w:spacing w:after="160"/>
        <w:ind w:firstLine="720"/>
        <w:rPr>
          <w:rFonts w:ascii="Times New Roman" w:eastAsia="Times New Roman" w:hAnsi="Times New Roman" w:cs="Times New Roman"/>
          <w:sz w:val="24"/>
          <w:szCs w:val="24"/>
          <w:shd w:val="clear" w:color="auto" w:fill="606060"/>
        </w:rPr>
      </w:pPr>
      <w:r>
        <w:rPr>
          <w:rFonts w:ascii="Times New Roman" w:eastAsia="Times New Roman" w:hAnsi="Times New Roman" w:cs="Times New Roman"/>
        </w:rPr>
        <w:t>As a result, many positions were able to remain active during volatile market conditions. Instead of fully liquidating positions whenever risk increased, the model made smaller adjustments that allowed LPs to continue earning yield farming fees while maintaining healthier collateral levels. The simulation tracked liquidations, health factors, borrowing levels, and position adjustments throughout the entire 2015–2025 dataset. These results were then compared directly with the fixed-LTV DeFi model to evaluate whether a TradFi-inspired approach could improve lending outcomes for Uniswap v3 LP positions.</w:t>
      </w:r>
      <w:r>
        <w:rPr>
          <w:rFonts w:ascii="Times New Roman" w:eastAsia="Times New Roman" w:hAnsi="Times New Roman" w:cs="Times New Roman"/>
          <w:sz w:val="24"/>
          <w:szCs w:val="24"/>
          <w:shd w:val="clear" w:color="auto" w:fill="606060"/>
        </w:rPr>
        <w:t xml:space="preserve"> </w:t>
      </w:r>
    </w:p>
    <w:p w14:paraId="57D94483" w14:textId="77777777" w:rsidR="00DC1115" w:rsidRDefault="00C6398E">
      <w:pPr>
        <w:pStyle w:val="Heading1"/>
        <w:rPr>
          <w:rFonts w:ascii="Times New Roman" w:eastAsia="Times New Roman" w:hAnsi="Times New Roman" w:cs="Times New Roman"/>
          <w:b/>
          <w:bCs/>
          <w:shd w:val="clear" w:color="auto" w:fill="606060"/>
        </w:rPr>
      </w:pPr>
      <w:r>
        <w:rPr>
          <w:rFonts w:ascii="Times New Roman" w:eastAsia="Times New Roman" w:hAnsi="Times New Roman" w:cs="Times New Roman"/>
          <w:b/>
          <w:bCs/>
        </w:rPr>
        <w:t>4. Results</w:t>
      </w:r>
      <w:r>
        <w:rPr>
          <w:rFonts w:ascii="Times New Roman" w:eastAsia="Times New Roman" w:hAnsi="Times New Roman" w:cs="Times New Roman"/>
          <w:b/>
          <w:bCs/>
          <w:shd w:val="clear" w:color="auto" w:fill="606060"/>
        </w:rPr>
        <w:t xml:space="preserve"> </w:t>
      </w:r>
    </w:p>
    <w:p w14:paraId="4526453C" w14:textId="77777777" w:rsidR="00DC1115" w:rsidRDefault="00000000">
      <w:pPr>
        <w:shd w:val="clear" w:color="auto" w:fill="FFFFFF"/>
        <w:spacing w:after="160"/>
        <w:ind w:firstLine="720"/>
        <w:rPr>
          <w:rFonts w:ascii="Times New Roman" w:eastAsia="Times New Roman" w:hAnsi="Times New Roman" w:cs="Times New Roman"/>
          <w:sz w:val="24"/>
          <w:szCs w:val="24"/>
          <w:shd w:val="clear" w:color="auto" w:fill="606060"/>
        </w:rPr>
      </w:pPr>
      <w:r>
        <w:rPr>
          <w:rFonts w:ascii="Times New Roman" w:eastAsia="Times New Roman" w:hAnsi="Times New Roman" w:cs="Times New Roman"/>
          <w:sz w:val="24"/>
          <w:szCs w:val="24"/>
        </w:rPr>
        <w:t>The results show a clear difference between the fixed-LTV DeFi model and the TradFi-inspired hybrid model. While both simulations used the same historical ETH price data and the same 500 Uniswap v3 LP positions, the hybrid model produced far fewer liquidations and maintained healthier positions during periods of market volatility.</w:t>
      </w:r>
      <w:r>
        <w:rPr>
          <w:rFonts w:ascii="Times New Roman" w:eastAsia="Times New Roman" w:hAnsi="Times New Roman" w:cs="Times New Roman"/>
          <w:sz w:val="24"/>
          <w:szCs w:val="24"/>
          <w:shd w:val="clear" w:color="auto" w:fill="606060"/>
        </w:rPr>
        <w:t xml:space="preserve"> </w:t>
      </w:r>
    </w:p>
    <w:p w14:paraId="683ADAFF" w14:textId="77777777" w:rsidR="00DC1115" w:rsidRDefault="00000000">
      <w:pPr>
        <w:pStyle w:val="Heading2"/>
        <w:rPr>
          <w:rFonts w:ascii="Times New Roman" w:eastAsia="Times New Roman" w:hAnsi="Times New Roman" w:cs="Times New Roman"/>
          <w:shd w:val="clear" w:color="auto" w:fill="606060"/>
        </w:rPr>
      </w:pPr>
      <w:r>
        <w:rPr>
          <w:rFonts w:ascii="Times New Roman" w:eastAsia="Times New Roman" w:hAnsi="Times New Roman" w:cs="Times New Roman"/>
        </w:rPr>
        <w:t>4.1 Market Conditions</w:t>
      </w:r>
      <w:r>
        <w:rPr>
          <w:rFonts w:ascii="Times New Roman" w:eastAsia="Times New Roman" w:hAnsi="Times New Roman" w:cs="Times New Roman"/>
          <w:shd w:val="clear" w:color="auto" w:fill="606060"/>
        </w:rPr>
        <w:t xml:space="preserve"> </w:t>
      </w:r>
    </w:p>
    <w:p w14:paraId="34F05E6D" w14:textId="77777777" w:rsidR="00DC1115" w:rsidRDefault="00000000">
      <w:pPr>
        <w:shd w:val="clear" w:color="auto" w:fill="FFFFFF"/>
        <w:spacing w:after="160"/>
        <w:ind w:firstLine="720"/>
        <w:rPr>
          <w:rFonts w:ascii="Times New Roman" w:eastAsia="Times New Roman" w:hAnsi="Times New Roman" w:cs="Times New Roman"/>
          <w:shd w:val="clear" w:color="auto" w:fill="606060"/>
        </w:rPr>
      </w:pPr>
      <w:r>
        <w:rPr>
          <w:rFonts w:ascii="Times New Roman" w:eastAsia="Times New Roman" w:hAnsi="Times New Roman" w:cs="Times New Roman"/>
        </w:rPr>
        <w:t>Figures 1 and 2 show ETH prices and daily price changes from 2015–2025. Because both models used the same historical data, the price charts are nearly identical. The purpose of these figures is to highlight the major periods of volatility that tested each model.</w:t>
      </w:r>
      <w:r>
        <w:rPr>
          <w:rFonts w:ascii="Times New Roman" w:eastAsia="Times New Roman" w:hAnsi="Times New Roman" w:cs="Times New Roman"/>
          <w:shd w:val="clear" w:color="auto" w:fill="606060"/>
        </w:rPr>
        <w:t xml:space="preserve"> </w:t>
      </w:r>
    </w:p>
    <w:p w14:paraId="046343C2" w14:textId="77777777" w:rsidR="00DC1115" w:rsidRDefault="00000000">
      <w:pPr>
        <w:shd w:val="clear" w:color="auto" w:fill="FFFFFF"/>
        <w:spacing w:after="160"/>
        <w:rPr>
          <w:rFonts w:ascii="Times New Roman" w:eastAsia="Times New Roman" w:hAnsi="Times New Roman" w:cs="Times New Roman"/>
          <w:sz w:val="24"/>
          <w:szCs w:val="24"/>
          <w:shd w:val="clear" w:color="auto" w:fill="606060"/>
        </w:rPr>
      </w:pPr>
      <w:r>
        <w:rPr>
          <w:rFonts w:ascii="Times New Roman" w:eastAsia="Times New Roman" w:hAnsi="Times New Roman" w:cs="Times New Roman"/>
          <w:noProof/>
          <w:sz w:val="24"/>
          <w:szCs w:val="24"/>
          <w:shd w:val="clear" w:color="auto" w:fill="606060"/>
        </w:rPr>
        <w:drawing>
          <wp:inline distT="114300" distB="114300" distL="114300" distR="114300" wp14:anchorId="0D880266" wp14:editId="35D0A97E">
            <wp:extent cx="5943600" cy="3149600"/>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6"/>
                    <a:srcRect/>
                    <a:stretch>
                      <a:fillRect/>
                    </a:stretch>
                  </pic:blipFill>
                  <pic:spPr>
                    <a:xfrm>
                      <a:off x="0" y="0"/>
                      <a:ext cx="5943600" cy="3149600"/>
                    </a:xfrm>
                    <a:prstGeom prst="rect">
                      <a:avLst/>
                    </a:prstGeom>
                    <a:ln/>
                  </pic:spPr>
                </pic:pic>
              </a:graphicData>
            </a:graphic>
          </wp:inline>
        </w:drawing>
      </w:r>
      <w:r>
        <w:rPr>
          <w:rFonts w:ascii="Times New Roman" w:eastAsia="Times New Roman" w:hAnsi="Times New Roman" w:cs="Times New Roman"/>
          <w:sz w:val="24"/>
          <w:szCs w:val="24"/>
        </w:rPr>
        <w:t>Figure 1. ETH/USD closing prices from 2015–2025.</w:t>
      </w:r>
      <w:r>
        <w:rPr>
          <w:rFonts w:ascii="Times New Roman" w:eastAsia="Times New Roman" w:hAnsi="Times New Roman" w:cs="Times New Roman"/>
          <w:sz w:val="24"/>
          <w:szCs w:val="24"/>
          <w:shd w:val="clear" w:color="auto" w:fill="606060"/>
        </w:rPr>
        <w:t xml:space="preserve"> </w:t>
      </w:r>
    </w:p>
    <w:p w14:paraId="6F2B19E1" w14:textId="77777777" w:rsidR="00DC1115" w:rsidRDefault="00000000">
      <w:pPr>
        <w:shd w:val="clear" w:color="auto" w:fill="FFFFFF"/>
        <w:spacing w:after="160"/>
        <w:rPr>
          <w:rFonts w:ascii="Times New Roman" w:eastAsia="Times New Roman" w:hAnsi="Times New Roman" w:cs="Times New Roman"/>
          <w:sz w:val="24"/>
          <w:szCs w:val="24"/>
          <w:shd w:val="clear" w:color="auto" w:fill="606060"/>
        </w:rPr>
      </w:pPr>
      <w:r>
        <w:rPr>
          <w:rFonts w:ascii="Times New Roman" w:eastAsia="Times New Roman" w:hAnsi="Times New Roman" w:cs="Times New Roman"/>
          <w:noProof/>
          <w:sz w:val="24"/>
          <w:szCs w:val="24"/>
          <w:shd w:val="clear" w:color="auto" w:fill="606060"/>
        </w:rPr>
        <w:lastRenderedPageBreak/>
        <w:drawing>
          <wp:inline distT="114300" distB="114300" distL="114300" distR="114300" wp14:anchorId="21032795" wp14:editId="11124CAF">
            <wp:extent cx="5943600" cy="2882900"/>
            <wp:effectExtent l="0" t="0" r="0" b="0"/>
            <wp:docPr id="3"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7"/>
                    <a:srcRect/>
                    <a:stretch>
                      <a:fillRect/>
                    </a:stretch>
                  </pic:blipFill>
                  <pic:spPr>
                    <a:xfrm>
                      <a:off x="0" y="0"/>
                      <a:ext cx="5943600" cy="2882900"/>
                    </a:xfrm>
                    <a:prstGeom prst="rect">
                      <a:avLst/>
                    </a:prstGeom>
                    <a:ln/>
                  </pic:spPr>
                </pic:pic>
              </a:graphicData>
            </a:graphic>
          </wp:inline>
        </w:drawing>
      </w:r>
      <w:r>
        <w:rPr>
          <w:rFonts w:ascii="Times New Roman" w:eastAsia="Times New Roman" w:hAnsi="Times New Roman" w:cs="Times New Roman"/>
        </w:rPr>
        <w:t>Figure 2. Daily ETH price changes. Large spikes represent periods of extreme volatility</w:t>
      </w:r>
      <w:r>
        <w:rPr>
          <w:rFonts w:ascii="Times New Roman" w:eastAsia="Times New Roman" w:hAnsi="Times New Roman" w:cs="Times New Roman"/>
          <w:sz w:val="24"/>
          <w:szCs w:val="24"/>
        </w:rPr>
        <w:t>.</w:t>
      </w:r>
      <w:r>
        <w:rPr>
          <w:rFonts w:ascii="Times New Roman" w:eastAsia="Times New Roman" w:hAnsi="Times New Roman" w:cs="Times New Roman"/>
          <w:sz w:val="24"/>
          <w:szCs w:val="24"/>
          <w:shd w:val="clear" w:color="auto" w:fill="606060"/>
        </w:rPr>
        <w:t xml:space="preserve"> </w:t>
      </w:r>
    </w:p>
    <w:p w14:paraId="638CB39D" w14:textId="77777777" w:rsidR="00DC1115" w:rsidRDefault="00000000">
      <w:pPr>
        <w:pStyle w:val="Heading2"/>
        <w:rPr>
          <w:rFonts w:ascii="Times New Roman" w:eastAsia="Times New Roman" w:hAnsi="Times New Roman" w:cs="Times New Roman"/>
          <w:shd w:val="clear" w:color="auto" w:fill="606060"/>
        </w:rPr>
      </w:pPr>
      <w:r>
        <w:rPr>
          <w:rFonts w:ascii="Times New Roman" w:eastAsia="Times New Roman" w:hAnsi="Times New Roman" w:cs="Times New Roman"/>
        </w:rPr>
        <w:t>4.2 Liquidation Performance</w:t>
      </w:r>
      <w:r>
        <w:rPr>
          <w:rFonts w:ascii="Times New Roman" w:eastAsia="Times New Roman" w:hAnsi="Times New Roman" w:cs="Times New Roman"/>
          <w:shd w:val="clear" w:color="auto" w:fill="606060"/>
        </w:rPr>
        <w:t xml:space="preserve"> </w:t>
      </w:r>
    </w:p>
    <w:p w14:paraId="27D37703" w14:textId="77777777" w:rsidR="00DC1115" w:rsidRDefault="00000000">
      <w:pPr>
        <w:shd w:val="clear" w:color="auto" w:fill="FFFFFF"/>
        <w:spacing w:after="160"/>
        <w:ind w:firstLine="720"/>
        <w:rPr>
          <w:rFonts w:ascii="Times New Roman" w:eastAsia="Times New Roman" w:hAnsi="Times New Roman" w:cs="Times New Roman"/>
          <w:shd w:val="clear" w:color="auto" w:fill="606060"/>
        </w:rPr>
      </w:pPr>
      <w:r>
        <w:rPr>
          <w:rFonts w:ascii="Times New Roman" w:eastAsia="Times New Roman" w:hAnsi="Times New Roman" w:cs="Times New Roman"/>
        </w:rPr>
        <w:t>The largest difference between the two models was the number of liquidations. As shown in Figure 3, the fixed-LTV DeFi model experienced frequent liquidation events throughout the dataset, particularly during major market downturns. The hybrid model remained much more stable and rarely triggered full liquidations.</w:t>
      </w:r>
      <w:r>
        <w:rPr>
          <w:rFonts w:ascii="Times New Roman" w:eastAsia="Times New Roman" w:hAnsi="Times New Roman" w:cs="Times New Roman"/>
          <w:shd w:val="clear" w:color="auto" w:fill="606060"/>
        </w:rPr>
        <w:t xml:space="preserve"> </w:t>
      </w:r>
    </w:p>
    <w:p w14:paraId="768973EC" w14:textId="77777777" w:rsidR="00DC1115" w:rsidRDefault="00000000">
      <w:pPr>
        <w:shd w:val="clear" w:color="auto" w:fill="FFFFFF"/>
        <w:spacing w:after="160"/>
        <w:rPr>
          <w:rFonts w:ascii="Times New Roman" w:eastAsia="Times New Roman" w:hAnsi="Times New Roman" w:cs="Times New Roman"/>
          <w:shd w:val="clear" w:color="auto" w:fill="606060"/>
        </w:rPr>
      </w:pPr>
      <w:r>
        <w:rPr>
          <w:rFonts w:ascii="Times New Roman" w:eastAsia="Times New Roman" w:hAnsi="Times New Roman" w:cs="Times New Roman"/>
          <w:noProof/>
          <w:sz w:val="24"/>
          <w:szCs w:val="24"/>
          <w:shd w:val="clear" w:color="auto" w:fill="606060"/>
        </w:rPr>
        <w:drawing>
          <wp:inline distT="114300" distB="114300" distL="114300" distR="114300" wp14:anchorId="061488FB" wp14:editId="5CD7A986">
            <wp:extent cx="5943600" cy="2527300"/>
            <wp:effectExtent l="0" t="0" r="0" b="0"/>
            <wp:docPr id="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8"/>
                    <a:srcRect/>
                    <a:stretch>
                      <a:fillRect/>
                    </a:stretch>
                  </pic:blipFill>
                  <pic:spPr>
                    <a:xfrm>
                      <a:off x="0" y="0"/>
                      <a:ext cx="5943600" cy="2527300"/>
                    </a:xfrm>
                    <a:prstGeom prst="rect">
                      <a:avLst/>
                    </a:prstGeom>
                    <a:ln/>
                  </pic:spPr>
                </pic:pic>
              </a:graphicData>
            </a:graphic>
          </wp:inline>
        </w:drawing>
      </w:r>
      <w:r>
        <w:rPr>
          <w:rFonts w:ascii="Times New Roman" w:eastAsia="Times New Roman" w:hAnsi="Times New Roman" w:cs="Times New Roman"/>
        </w:rPr>
        <w:t>Figure 3. Daily liquidations under the DeFi and hybrid models.</w:t>
      </w:r>
      <w:r>
        <w:rPr>
          <w:rFonts w:ascii="Times New Roman" w:eastAsia="Times New Roman" w:hAnsi="Times New Roman" w:cs="Times New Roman"/>
          <w:shd w:val="clear" w:color="auto" w:fill="606060"/>
        </w:rPr>
        <w:t xml:space="preserve"> </w:t>
      </w:r>
    </w:p>
    <w:p w14:paraId="123109AA" w14:textId="77777777" w:rsidR="00DC1115" w:rsidRDefault="00000000">
      <w:pPr>
        <w:shd w:val="clear" w:color="auto" w:fill="FFFFFF"/>
        <w:spacing w:after="160"/>
        <w:rPr>
          <w:rFonts w:ascii="Times New Roman" w:eastAsia="Times New Roman" w:hAnsi="Times New Roman" w:cs="Times New Roman"/>
          <w:shd w:val="clear" w:color="auto" w:fill="606060"/>
        </w:rPr>
      </w:pPr>
      <w:r>
        <w:rPr>
          <w:rFonts w:ascii="Times New Roman" w:eastAsia="Times New Roman" w:hAnsi="Times New Roman" w:cs="Times New Roman"/>
        </w:rPr>
        <w:t>Results for the entire dataset:</w:t>
      </w:r>
      <w:r>
        <w:rPr>
          <w:rFonts w:ascii="Times New Roman" w:eastAsia="Times New Roman" w:hAnsi="Times New Roman" w:cs="Times New Roman"/>
          <w:shd w:val="clear" w:color="auto" w:fill="606060"/>
        </w:rPr>
        <w:t xml:space="preserve"> </w:t>
      </w:r>
    </w:p>
    <w:p w14:paraId="7E4C8C01" w14:textId="542DBCDC" w:rsidR="00DC1115" w:rsidRDefault="00000000">
      <w:pPr>
        <w:numPr>
          <w:ilvl w:val="0"/>
          <w:numId w:val="8"/>
        </w:numPr>
        <w:ind w:left="360"/>
        <w:rPr>
          <w:rFonts w:ascii="Times New Roman" w:eastAsia="Times New Roman" w:hAnsi="Times New Roman" w:cs="Times New Roman"/>
          <w:color w:val="000000"/>
        </w:rPr>
      </w:pPr>
      <w:r>
        <w:rPr>
          <w:rFonts w:ascii="Times New Roman" w:eastAsia="Times New Roman" w:hAnsi="Times New Roman" w:cs="Times New Roman"/>
          <w:color w:val="000000"/>
        </w:rPr>
        <w:t xml:space="preserve">DeFi liquidations: </w:t>
      </w:r>
      <w:r w:rsidRPr="001C6DBF">
        <w:rPr>
          <w:rFonts w:ascii="Times New Roman" w:eastAsia="Times New Roman" w:hAnsi="Times New Roman" w:cs="Times New Roman"/>
        </w:rPr>
        <w:t xml:space="preserve">23,731 </w:t>
      </w:r>
      <w:r w:rsidRPr="001C6DBF">
        <w:rPr>
          <w:rFonts w:ascii="Times New Roman" w:eastAsia="Times New Roman" w:hAnsi="Times New Roman" w:cs="Times New Roman"/>
          <w:shd w:val="clear" w:color="auto" w:fill="606060"/>
        </w:rPr>
        <w:t xml:space="preserve"> </w:t>
      </w:r>
    </w:p>
    <w:p w14:paraId="59A40CFB" w14:textId="6EC01FB9" w:rsidR="00DC1115" w:rsidRDefault="00000000">
      <w:pPr>
        <w:numPr>
          <w:ilvl w:val="0"/>
          <w:numId w:val="7"/>
        </w:numPr>
        <w:ind w:left="360"/>
        <w:rPr>
          <w:rFonts w:ascii="Times New Roman" w:eastAsia="Times New Roman" w:hAnsi="Times New Roman" w:cs="Times New Roman"/>
          <w:color w:val="000000"/>
        </w:rPr>
      </w:pPr>
      <w:r>
        <w:rPr>
          <w:rFonts w:ascii="Times New Roman" w:eastAsia="Times New Roman" w:hAnsi="Times New Roman" w:cs="Times New Roman"/>
          <w:color w:val="000000"/>
        </w:rPr>
        <w:t xml:space="preserve">Hybrid liquidations: </w:t>
      </w:r>
      <w:r w:rsidRPr="001C6DBF">
        <w:rPr>
          <w:rFonts w:ascii="Times New Roman" w:eastAsia="Times New Roman" w:hAnsi="Times New Roman" w:cs="Times New Roman"/>
        </w:rPr>
        <w:t xml:space="preserve">1,402 </w:t>
      </w:r>
      <w:r w:rsidRPr="001C6DBF">
        <w:rPr>
          <w:rFonts w:ascii="Times New Roman" w:eastAsia="Times New Roman" w:hAnsi="Times New Roman" w:cs="Times New Roman"/>
          <w:shd w:val="clear" w:color="auto" w:fill="606060"/>
        </w:rPr>
        <w:t xml:space="preserve"> </w:t>
      </w:r>
    </w:p>
    <w:p w14:paraId="0592D486" w14:textId="61EBD4D1" w:rsidR="00DC1115" w:rsidRDefault="00000000">
      <w:pPr>
        <w:numPr>
          <w:ilvl w:val="0"/>
          <w:numId w:val="2"/>
        </w:numPr>
        <w:ind w:left="360"/>
        <w:rPr>
          <w:rFonts w:ascii="Times New Roman" w:eastAsia="Times New Roman" w:hAnsi="Times New Roman" w:cs="Times New Roman"/>
          <w:color w:val="000000"/>
        </w:rPr>
      </w:pPr>
      <w:r>
        <w:rPr>
          <w:rFonts w:ascii="Times New Roman" w:eastAsia="Times New Roman" w:hAnsi="Times New Roman" w:cs="Times New Roman"/>
          <w:color w:val="000000"/>
        </w:rPr>
        <w:t xml:space="preserve">Reduction: </w:t>
      </w:r>
      <w:r w:rsidRPr="001C6DBF">
        <w:rPr>
          <w:rFonts w:ascii="Times New Roman" w:eastAsia="Times New Roman" w:hAnsi="Times New Roman" w:cs="Times New Roman"/>
        </w:rPr>
        <w:t>94.09</w:t>
      </w:r>
      <w:r>
        <w:rPr>
          <w:rFonts w:ascii="Times New Roman" w:eastAsia="Times New Roman" w:hAnsi="Times New Roman" w:cs="Times New Roman"/>
          <w:color w:val="000000"/>
        </w:rPr>
        <w:t xml:space="preserve">% </w:t>
      </w:r>
      <w:r>
        <w:rPr>
          <w:rFonts w:ascii="Times New Roman" w:eastAsia="Times New Roman" w:hAnsi="Times New Roman" w:cs="Times New Roman"/>
          <w:color w:val="000000"/>
          <w:shd w:val="clear" w:color="auto" w:fill="606060"/>
        </w:rPr>
        <w:t xml:space="preserve"> </w:t>
      </w:r>
    </w:p>
    <w:p w14:paraId="6CEFDC43" w14:textId="633583FE" w:rsidR="00DC1115" w:rsidRDefault="00000000">
      <w:pPr>
        <w:shd w:val="clear" w:color="auto" w:fill="FFFFFF"/>
        <w:spacing w:after="160"/>
        <w:rPr>
          <w:rFonts w:ascii="Times New Roman" w:eastAsia="Times New Roman" w:hAnsi="Times New Roman" w:cs="Times New Roman"/>
          <w:shd w:val="clear" w:color="auto" w:fill="606060"/>
        </w:rPr>
      </w:pPr>
      <w:r>
        <w:rPr>
          <w:rFonts w:ascii="Times New Roman" w:eastAsia="Times New Roman" w:hAnsi="Times New Roman" w:cs="Times New Roman"/>
        </w:rPr>
        <w:lastRenderedPageBreak/>
        <w:t xml:space="preserve">The hybrid model reduced liquidations </w:t>
      </w:r>
      <w:r>
        <w:rPr>
          <w:rFonts w:ascii="Times New Roman" w:eastAsia="Times New Roman" w:hAnsi="Times New Roman" w:cs="Times New Roman"/>
          <w:color w:val="000000"/>
        </w:rPr>
        <w:t xml:space="preserve">by </w:t>
      </w:r>
      <w:r w:rsidRPr="001C6DBF">
        <w:rPr>
          <w:rFonts w:ascii="Times New Roman" w:eastAsia="Times New Roman" w:hAnsi="Times New Roman" w:cs="Times New Roman"/>
        </w:rPr>
        <w:t xml:space="preserve">roughly 94%, </w:t>
      </w:r>
      <w:r>
        <w:rPr>
          <w:rFonts w:ascii="Times New Roman" w:eastAsia="Times New Roman" w:hAnsi="Times New Roman" w:cs="Times New Roman"/>
        </w:rPr>
        <w:t>showing that stress testing and proactive risk management can significantly improve position survival during volatile markets.</w:t>
      </w:r>
      <w:r>
        <w:rPr>
          <w:rFonts w:ascii="Times New Roman" w:eastAsia="Times New Roman" w:hAnsi="Times New Roman" w:cs="Times New Roman"/>
          <w:shd w:val="clear" w:color="auto" w:fill="606060"/>
        </w:rPr>
        <w:t xml:space="preserve"> </w:t>
      </w:r>
    </w:p>
    <w:p w14:paraId="48E1F066" w14:textId="77777777" w:rsidR="00DC1115" w:rsidRDefault="00000000">
      <w:pPr>
        <w:pStyle w:val="Heading2"/>
        <w:rPr>
          <w:rFonts w:ascii="Times New Roman" w:eastAsia="Times New Roman" w:hAnsi="Times New Roman" w:cs="Times New Roman"/>
          <w:shd w:val="clear" w:color="auto" w:fill="606060"/>
        </w:rPr>
      </w:pPr>
      <w:r>
        <w:rPr>
          <w:rFonts w:ascii="Times New Roman" w:eastAsia="Times New Roman" w:hAnsi="Times New Roman" w:cs="Times New Roman"/>
        </w:rPr>
        <w:t>4.3 Average Health Factors Over Time</w:t>
      </w:r>
      <w:r>
        <w:rPr>
          <w:rFonts w:ascii="Times New Roman" w:eastAsia="Times New Roman" w:hAnsi="Times New Roman" w:cs="Times New Roman"/>
          <w:shd w:val="clear" w:color="auto" w:fill="606060"/>
        </w:rPr>
        <w:t xml:space="preserve"> </w:t>
      </w:r>
    </w:p>
    <w:p w14:paraId="1ED04EDA" w14:textId="46B856B5" w:rsidR="00DC1115" w:rsidRDefault="00000000">
      <w:pPr>
        <w:shd w:val="clear" w:color="auto" w:fill="FFFFFF"/>
        <w:spacing w:after="160"/>
        <w:ind w:firstLine="720"/>
        <w:rPr>
          <w:rFonts w:ascii="Times New Roman" w:eastAsia="Times New Roman" w:hAnsi="Times New Roman" w:cs="Times New Roman"/>
          <w:sz w:val="24"/>
          <w:szCs w:val="24"/>
          <w:shd w:val="clear" w:color="auto" w:fill="606060"/>
        </w:rPr>
      </w:pPr>
      <w:r>
        <w:rPr>
          <w:rFonts w:ascii="Times New Roman" w:eastAsia="Times New Roman" w:hAnsi="Times New Roman" w:cs="Times New Roman"/>
        </w:rPr>
        <w:t xml:space="preserve">Figure 4 compares the average health factor (HF) across 500 positions. For most of the time, the DeFi model remained near the liquidation threshold, averaging around 1.0–1.1. During periods of high volatility, many positions fell below HF = 1, triggering </w:t>
      </w:r>
      <w:r>
        <w:rPr>
          <w:rFonts w:ascii="Times New Roman" w:eastAsia="Times New Roman" w:hAnsi="Times New Roman" w:cs="Times New Roman"/>
          <w:color w:val="000000"/>
        </w:rPr>
        <w:t xml:space="preserve">liquidations. The hybrid model, however, maintained a much higher average health factor of approximately </w:t>
      </w:r>
      <w:r w:rsidRPr="001C6DBF">
        <w:rPr>
          <w:rFonts w:ascii="Times New Roman" w:eastAsia="Times New Roman" w:hAnsi="Times New Roman" w:cs="Times New Roman"/>
        </w:rPr>
        <w:t>1.45</w:t>
      </w:r>
      <w:r>
        <w:rPr>
          <w:rFonts w:ascii="Times New Roman" w:eastAsia="Times New Roman" w:hAnsi="Times New Roman" w:cs="Times New Roman"/>
          <w:color w:val="000000"/>
        </w:rPr>
        <w:t xml:space="preserve">. </w:t>
      </w:r>
      <w:r>
        <w:rPr>
          <w:rFonts w:ascii="Times New Roman" w:eastAsia="Times New Roman" w:hAnsi="Times New Roman" w:cs="Times New Roman"/>
        </w:rPr>
        <w:t>Since borrowing limits were adjusted before positions became unsafe, most positions remained above the liquidation.</w:t>
      </w:r>
      <w:r>
        <w:rPr>
          <w:rFonts w:ascii="Times New Roman" w:eastAsia="Times New Roman" w:hAnsi="Times New Roman" w:cs="Times New Roman"/>
          <w:sz w:val="24"/>
          <w:szCs w:val="24"/>
          <w:shd w:val="clear" w:color="auto" w:fill="606060"/>
        </w:rPr>
        <w:t xml:space="preserve"> </w:t>
      </w:r>
    </w:p>
    <w:p w14:paraId="386DB3D9" w14:textId="77777777" w:rsidR="00DC1115" w:rsidRDefault="00000000">
      <w:pPr>
        <w:shd w:val="clear" w:color="auto" w:fill="FFFFFF"/>
        <w:spacing w:after="160"/>
        <w:rPr>
          <w:rFonts w:ascii="Times New Roman" w:eastAsia="Times New Roman" w:hAnsi="Times New Roman" w:cs="Times New Roman"/>
          <w:sz w:val="24"/>
          <w:szCs w:val="24"/>
          <w:shd w:val="clear" w:color="auto" w:fill="606060"/>
        </w:rPr>
      </w:pPr>
      <w:r>
        <w:rPr>
          <w:rFonts w:ascii="Times New Roman" w:eastAsia="Times New Roman" w:hAnsi="Times New Roman" w:cs="Times New Roman"/>
          <w:noProof/>
          <w:sz w:val="24"/>
          <w:szCs w:val="24"/>
          <w:shd w:val="clear" w:color="auto" w:fill="606060"/>
        </w:rPr>
        <w:drawing>
          <wp:inline distT="114300" distB="114300" distL="114300" distR="114300" wp14:anchorId="588F5730" wp14:editId="0E10C0A8">
            <wp:extent cx="5943600" cy="3162300"/>
            <wp:effectExtent l="0" t="0" r="0" b="0"/>
            <wp:docPr id="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9"/>
                    <a:srcRect/>
                    <a:stretch>
                      <a:fillRect/>
                    </a:stretch>
                  </pic:blipFill>
                  <pic:spPr>
                    <a:xfrm>
                      <a:off x="0" y="0"/>
                      <a:ext cx="5943600" cy="3162300"/>
                    </a:xfrm>
                    <a:prstGeom prst="rect">
                      <a:avLst/>
                    </a:prstGeom>
                    <a:ln/>
                  </pic:spPr>
                </pic:pic>
              </a:graphicData>
            </a:graphic>
          </wp:inline>
        </w:drawing>
      </w:r>
      <w:r>
        <w:rPr>
          <w:rFonts w:ascii="Times New Roman" w:eastAsia="Times New Roman" w:hAnsi="Times New Roman" w:cs="Times New Roman"/>
        </w:rPr>
        <w:t>Figure 4. Average health factor over time</w:t>
      </w:r>
      <w:r>
        <w:rPr>
          <w:rFonts w:ascii="Times New Roman" w:eastAsia="Times New Roman" w:hAnsi="Times New Roman" w:cs="Times New Roman"/>
          <w:sz w:val="24"/>
          <w:szCs w:val="24"/>
        </w:rPr>
        <w:t>.</w:t>
      </w:r>
      <w:r>
        <w:rPr>
          <w:rFonts w:ascii="Times New Roman" w:eastAsia="Times New Roman" w:hAnsi="Times New Roman" w:cs="Times New Roman"/>
          <w:sz w:val="24"/>
          <w:szCs w:val="24"/>
          <w:shd w:val="clear" w:color="auto" w:fill="606060"/>
        </w:rPr>
        <w:t xml:space="preserve"> </w:t>
      </w:r>
    </w:p>
    <w:p w14:paraId="63995D94" w14:textId="77777777" w:rsidR="00DC1115" w:rsidRDefault="00000000">
      <w:pPr>
        <w:pStyle w:val="Heading2"/>
        <w:rPr>
          <w:rFonts w:ascii="Times New Roman" w:eastAsia="Times New Roman" w:hAnsi="Times New Roman" w:cs="Times New Roman"/>
          <w:shd w:val="clear" w:color="auto" w:fill="606060"/>
        </w:rPr>
      </w:pPr>
      <w:r>
        <w:rPr>
          <w:rFonts w:ascii="Times New Roman" w:eastAsia="Times New Roman" w:hAnsi="Times New Roman" w:cs="Times New Roman"/>
        </w:rPr>
        <w:t>4.4 Cumulative Liquidations and Reductions</w:t>
      </w:r>
      <w:r>
        <w:rPr>
          <w:rFonts w:ascii="Times New Roman" w:eastAsia="Times New Roman" w:hAnsi="Times New Roman" w:cs="Times New Roman"/>
          <w:shd w:val="clear" w:color="auto" w:fill="606060"/>
        </w:rPr>
        <w:t xml:space="preserve"> </w:t>
      </w:r>
    </w:p>
    <w:p w14:paraId="0DA7D720" w14:textId="534EAB3D" w:rsidR="00DC1115" w:rsidRDefault="00000000">
      <w:pPr>
        <w:shd w:val="clear" w:color="auto" w:fill="FFFFFF"/>
        <w:spacing w:after="160"/>
        <w:ind w:firstLine="720"/>
        <w:rPr>
          <w:rFonts w:ascii="Times New Roman" w:eastAsia="Times New Roman" w:hAnsi="Times New Roman" w:cs="Times New Roman"/>
          <w:shd w:val="clear" w:color="auto" w:fill="606060"/>
        </w:rPr>
      </w:pPr>
      <w:r>
        <w:rPr>
          <w:rFonts w:ascii="Times New Roman" w:eastAsia="Times New Roman" w:hAnsi="Times New Roman" w:cs="Times New Roman"/>
        </w:rPr>
        <w:t xml:space="preserve">Figures 5 and 6 show how the two approaches managed risk over time. In the fixed-LTV model, cumulative liquidations increased </w:t>
      </w:r>
      <w:r>
        <w:rPr>
          <w:rFonts w:ascii="Times New Roman" w:eastAsia="Times New Roman" w:hAnsi="Times New Roman" w:cs="Times New Roman"/>
          <w:color w:val="000000"/>
        </w:rPr>
        <w:t xml:space="preserve">rapidly. Eventually they reached </w:t>
      </w:r>
      <w:r w:rsidRPr="001C6DBF">
        <w:rPr>
          <w:rFonts w:ascii="Times New Roman" w:eastAsia="Times New Roman" w:hAnsi="Times New Roman" w:cs="Times New Roman"/>
        </w:rPr>
        <w:t>nearly 24,000</w:t>
      </w:r>
      <w:r>
        <w:rPr>
          <w:rFonts w:ascii="Times New Roman" w:eastAsia="Times New Roman" w:hAnsi="Times New Roman" w:cs="Times New Roman"/>
          <w:color w:val="000000"/>
        </w:rPr>
        <w:t xml:space="preserve">. In contrast, the hybrid model remained </w:t>
      </w:r>
      <w:r w:rsidRPr="001C6DBF">
        <w:rPr>
          <w:rFonts w:ascii="Times New Roman" w:eastAsia="Times New Roman" w:hAnsi="Times New Roman" w:cs="Times New Roman"/>
        </w:rPr>
        <w:t xml:space="preserve">near 1,400 total </w:t>
      </w:r>
      <w:r>
        <w:rPr>
          <w:rFonts w:ascii="Times New Roman" w:eastAsia="Times New Roman" w:hAnsi="Times New Roman" w:cs="Times New Roman"/>
          <w:color w:val="000000"/>
        </w:rPr>
        <w:t>liquidations.</w:t>
      </w:r>
      <w:r>
        <w:rPr>
          <w:rFonts w:ascii="Times New Roman" w:eastAsia="Times New Roman" w:hAnsi="Times New Roman" w:cs="Times New Roman"/>
          <w:color w:val="000000"/>
          <w:shd w:val="clear" w:color="auto" w:fill="606060"/>
        </w:rPr>
        <w:t xml:space="preserve"> </w:t>
      </w:r>
    </w:p>
    <w:p w14:paraId="7AF4B0BA" w14:textId="77777777" w:rsidR="00DC1115" w:rsidRDefault="00000000">
      <w:pPr>
        <w:shd w:val="clear" w:color="auto" w:fill="FFFFFF"/>
        <w:spacing w:after="160"/>
        <w:rPr>
          <w:rFonts w:ascii="Times New Roman" w:eastAsia="Times New Roman" w:hAnsi="Times New Roman" w:cs="Times New Roman"/>
          <w:sz w:val="24"/>
          <w:szCs w:val="24"/>
          <w:shd w:val="clear" w:color="auto" w:fill="606060"/>
        </w:rPr>
      </w:pPr>
      <w:r>
        <w:rPr>
          <w:rFonts w:ascii="Times New Roman" w:eastAsia="Times New Roman" w:hAnsi="Times New Roman" w:cs="Times New Roman"/>
          <w:noProof/>
          <w:sz w:val="24"/>
          <w:szCs w:val="24"/>
          <w:shd w:val="clear" w:color="auto" w:fill="606060"/>
        </w:rPr>
        <w:lastRenderedPageBreak/>
        <w:drawing>
          <wp:inline distT="114300" distB="114300" distL="114300" distR="114300" wp14:anchorId="33BB95F1" wp14:editId="3E741F22">
            <wp:extent cx="5943600" cy="2654300"/>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0"/>
                    <a:srcRect/>
                    <a:stretch>
                      <a:fillRect/>
                    </a:stretch>
                  </pic:blipFill>
                  <pic:spPr>
                    <a:xfrm>
                      <a:off x="0" y="0"/>
                      <a:ext cx="5943600" cy="2654300"/>
                    </a:xfrm>
                    <a:prstGeom prst="rect">
                      <a:avLst/>
                    </a:prstGeom>
                    <a:ln/>
                  </pic:spPr>
                </pic:pic>
              </a:graphicData>
            </a:graphic>
          </wp:inline>
        </w:drawing>
      </w:r>
      <w:r>
        <w:rPr>
          <w:rFonts w:ascii="Times New Roman" w:eastAsia="Times New Roman" w:hAnsi="Times New Roman" w:cs="Times New Roman"/>
        </w:rPr>
        <w:t>Figure 5. Cumulative liquidations over time.</w:t>
      </w:r>
      <w:r>
        <w:rPr>
          <w:rFonts w:ascii="Times New Roman" w:eastAsia="Times New Roman" w:hAnsi="Times New Roman" w:cs="Times New Roman"/>
          <w:shd w:val="clear" w:color="auto" w:fill="606060"/>
        </w:rPr>
        <w:t xml:space="preserve"> </w:t>
      </w:r>
    </w:p>
    <w:p w14:paraId="182CC210" w14:textId="77777777" w:rsidR="00DC1115" w:rsidRDefault="00000000">
      <w:pPr>
        <w:shd w:val="clear" w:color="auto" w:fill="FFFFFF"/>
        <w:spacing w:after="160"/>
        <w:rPr>
          <w:rFonts w:ascii="Times New Roman" w:eastAsia="Times New Roman" w:hAnsi="Times New Roman" w:cs="Times New Roman"/>
          <w:sz w:val="24"/>
          <w:szCs w:val="24"/>
          <w:shd w:val="clear" w:color="auto" w:fill="606060"/>
        </w:rPr>
      </w:pPr>
      <w:r>
        <w:rPr>
          <w:rFonts w:ascii="Times New Roman" w:eastAsia="Times New Roman" w:hAnsi="Times New Roman" w:cs="Times New Roman"/>
          <w:sz w:val="24"/>
          <w:szCs w:val="24"/>
          <w:shd w:val="clear" w:color="auto" w:fill="606060"/>
        </w:rPr>
        <w:t xml:space="preserve"> </w:t>
      </w:r>
    </w:p>
    <w:p w14:paraId="081DA846" w14:textId="77777777" w:rsidR="00DC1115" w:rsidRDefault="00000000">
      <w:pPr>
        <w:shd w:val="clear" w:color="auto" w:fill="FFFFFF"/>
        <w:spacing w:after="160"/>
        <w:rPr>
          <w:rFonts w:ascii="Times New Roman" w:eastAsia="Times New Roman" w:hAnsi="Times New Roman" w:cs="Times New Roman"/>
          <w:sz w:val="24"/>
          <w:szCs w:val="24"/>
          <w:shd w:val="clear" w:color="auto" w:fill="606060"/>
        </w:rPr>
      </w:pPr>
      <w:r>
        <w:rPr>
          <w:rFonts w:ascii="Times New Roman" w:eastAsia="Times New Roman" w:hAnsi="Times New Roman" w:cs="Times New Roman"/>
          <w:noProof/>
          <w:sz w:val="24"/>
          <w:szCs w:val="24"/>
          <w:shd w:val="clear" w:color="auto" w:fill="606060"/>
        </w:rPr>
        <w:drawing>
          <wp:inline distT="114300" distB="114300" distL="114300" distR="114300" wp14:anchorId="07DB3A5D" wp14:editId="005AC18E">
            <wp:extent cx="5943600" cy="2959100"/>
            <wp:effectExtent l="0" t="0" r="0" b="0"/>
            <wp:docPr id="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5943600" cy="2959100"/>
                    </a:xfrm>
                    <a:prstGeom prst="rect">
                      <a:avLst/>
                    </a:prstGeom>
                    <a:ln/>
                  </pic:spPr>
                </pic:pic>
              </a:graphicData>
            </a:graphic>
          </wp:inline>
        </w:drawing>
      </w:r>
      <w:r>
        <w:rPr>
          <w:rFonts w:ascii="Times New Roman" w:eastAsia="Times New Roman" w:hAnsi="Times New Roman" w:cs="Times New Roman"/>
        </w:rPr>
        <w:t>Figure 6. Position reductions compared with full liquidations</w:t>
      </w:r>
      <w:r>
        <w:rPr>
          <w:rFonts w:ascii="Times New Roman" w:eastAsia="Times New Roman" w:hAnsi="Times New Roman" w:cs="Times New Roman"/>
          <w:sz w:val="24"/>
          <w:szCs w:val="24"/>
        </w:rPr>
        <w:t>.</w:t>
      </w:r>
      <w:r>
        <w:rPr>
          <w:rFonts w:ascii="Times New Roman" w:eastAsia="Times New Roman" w:hAnsi="Times New Roman" w:cs="Times New Roman"/>
          <w:sz w:val="24"/>
          <w:szCs w:val="24"/>
          <w:shd w:val="clear" w:color="auto" w:fill="606060"/>
        </w:rPr>
        <w:t xml:space="preserve"> </w:t>
      </w:r>
    </w:p>
    <w:p w14:paraId="74CD2B57" w14:textId="77777777" w:rsidR="00DC1115" w:rsidRDefault="00000000">
      <w:pPr>
        <w:pStyle w:val="Heading2"/>
        <w:rPr>
          <w:rFonts w:ascii="Times New Roman" w:eastAsia="Times New Roman" w:hAnsi="Times New Roman" w:cs="Times New Roman"/>
          <w:shd w:val="clear" w:color="auto" w:fill="606060"/>
        </w:rPr>
      </w:pPr>
      <w:r>
        <w:rPr>
          <w:rFonts w:ascii="Times New Roman" w:eastAsia="Times New Roman" w:hAnsi="Times New Roman" w:cs="Times New Roman"/>
        </w:rPr>
        <w:t>4.5 Effective LTV</w:t>
      </w:r>
      <w:r>
        <w:rPr>
          <w:rFonts w:ascii="Times New Roman" w:eastAsia="Times New Roman" w:hAnsi="Times New Roman" w:cs="Times New Roman"/>
          <w:shd w:val="clear" w:color="auto" w:fill="606060"/>
        </w:rPr>
        <w:t xml:space="preserve"> </w:t>
      </w:r>
    </w:p>
    <w:p w14:paraId="7E04A55C" w14:textId="3A1B539D" w:rsidR="00DC1115" w:rsidRDefault="00000000">
      <w:pPr>
        <w:shd w:val="clear" w:color="auto" w:fill="FFFFFF"/>
        <w:spacing w:after="160"/>
        <w:ind w:firstLine="720"/>
        <w:rPr>
          <w:rFonts w:ascii="Times New Roman" w:eastAsia="Times New Roman" w:hAnsi="Times New Roman" w:cs="Times New Roman"/>
          <w:sz w:val="24"/>
          <w:szCs w:val="24"/>
          <w:shd w:val="clear" w:color="auto" w:fill="606060"/>
        </w:rPr>
      </w:pPr>
      <w:r>
        <w:rPr>
          <w:rFonts w:ascii="Times New Roman" w:eastAsia="Times New Roman" w:hAnsi="Times New Roman" w:cs="Times New Roman"/>
        </w:rPr>
        <w:t xml:space="preserve">Figure 7 shows the average effective LTV ratio in the hybrid model. </w:t>
      </w:r>
      <w:r w:rsidRPr="001C6DBF">
        <w:rPr>
          <w:rFonts w:ascii="Times New Roman" w:eastAsia="Times New Roman" w:hAnsi="Times New Roman" w:cs="Times New Roman"/>
        </w:rPr>
        <w:t xml:space="preserve">The hybrid model reduces the effective LTV from the 0.65 starting limit to a consistently conservative level, averaging 0.485 with a standard deviation of 0.0021 across the simulation window. </w:t>
      </w:r>
      <w:r w:rsidRPr="00DD1CA4">
        <w:rPr>
          <w:rFonts w:ascii="Times New Roman" w:eastAsia="Times New Roman" w:hAnsi="Times New Roman" w:cs="Times New Roman"/>
        </w:rPr>
        <w:t xml:space="preserve">This reduction is re-derived and applied to every position on every day of the run, so the deleveraging is executed dynamically. Its magnitude, however, is quasi-static: because the stress test's inputs vary little over time, the effective LTV stays near this average rather than tightening further as market stress rises. The protection comes from actively </w:t>
      </w:r>
      <w:r w:rsidRPr="00DD1CA4">
        <w:rPr>
          <w:rFonts w:ascii="Times New Roman" w:eastAsia="Times New Roman" w:hAnsi="Times New Roman" w:cs="Times New Roman"/>
        </w:rPr>
        <w:lastRenderedPageBreak/>
        <w:t xml:space="preserve">deleveraging each position to a lower, stress-derived level every day, in contrast to the preset 65% limit that the fixed-LTV model applies without regard to </w:t>
      </w:r>
      <w:r w:rsidR="00DD1CA4">
        <w:rPr>
          <w:rFonts w:ascii="Times New Roman" w:eastAsia="Times New Roman" w:hAnsi="Times New Roman" w:cs="Times New Roman"/>
        </w:rPr>
        <w:t xml:space="preserve">actual market </w:t>
      </w:r>
      <w:r w:rsidRPr="00DD1CA4">
        <w:rPr>
          <w:rFonts w:ascii="Times New Roman" w:eastAsia="Times New Roman" w:hAnsi="Times New Roman" w:cs="Times New Roman"/>
        </w:rPr>
        <w:t>conditions</w:t>
      </w:r>
      <w:r w:rsidR="001C6DBF" w:rsidRPr="00DD1CA4">
        <w:rPr>
          <w:rFonts w:ascii="Times New Roman" w:eastAsia="Times New Roman" w:hAnsi="Times New Roman" w:cs="Times New Roman"/>
        </w:rPr>
        <w:t>.</w:t>
      </w:r>
    </w:p>
    <w:p w14:paraId="1348A4E6" w14:textId="77777777" w:rsidR="00DC1115" w:rsidRDefault="00000000">
      <w:pPr>
        <w:shd w:val="clear" w:color="auto" w:fill="FFFFFF"/>
        <w:spacing w:after="160"/>
        <w:rPr>
          <w:rFonts w:ascii="Times New Roman" w:eastAsia="Times New Roman" w:hAnsi="Times New Roman" w:cs="Times New Roman"/>
          <w:shd w:val="clear" w:color="auto" w:fill="606060"/>
        </w:rPr>
      </w:pPr>
      <w:r>
        <w:rPr>
          <w:rFonts w:ascii="Times New Roman" w:eastAsia="Times New Roman" w:hAnsi="Times New Roman" w:cs="Times New Roman"/>
          <w:noProof/>
          <w:sz w:val="24"/>
          <w:szCs w:val="24"/>
          <w:shd w:val="clear" w:color="auto" w:fill="606060"/>
        </w:rPr>
        <w:drawing>
          <wp:inline distT="114300" distB="114300" distL="114300" distR="114300" wp14:anchorId="34C007CE" wp14:editId="45F82B8D">
            <wp:extent cx="5943600" cy="2590800"/>
            <wp:effectExtent l="0" t="0" r="0" b="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2"/>
                    <a:srcRect/>
                    <a:stretch>
                      <a:fillRect/>
                    </a:stretch>
                  </pic:blipFill>
                  <pic:spPr>
                    <a:xfrm>
                      <a:off x="0" y="0"/>
                      <a:ext cx="5943600" cy="2590800"/>
                    </a:xfrm>
                    <a:prstGeom prst="rect">
                      <a:avLst/>
                    </a:prstGeom>
                    <a:ln/>
                  </pic:spPr>
                </pic:pic>
              </a:graphicData>
            </a:graphic>
          </wp:inline>
        </w:drawing>
      </w:r>
      <w:r>
        <w:rPr>
          <w:rFonts w:ascii="Times New Roman" w:eastAsia="Times New Roman" w:hAnsi="Times New Roman" w:cs="Times New Roman"/>
        </w:rPr>
        <w:t>Figure 7. Average effective LTV in the hybrid model.</w:t>
      </w:r>
      <w:r>
        <w:rPr>
          <w:rFonts w:ascii="Times New Roman" w:eastAsia="Times New Roman" w:hAnsi="Times New Roman" w:cs="Times New Roman"/>
          <w:shd w:val="clear" w:color="auto" w:fill="606060"/>
        </w:rPr>
        <w:t xml:space="preserve"> </w:t>
      </w:r>
    </w:p>
    <w:p w14:paraId="64EAC360" w14:textId="77777777" w:rsidR="00DC1115" w:rsidRDefault="00000000">
      <w:pPr>
        <w:shd w:val="clear" w:color="auto" w:fill="FFFFFF"/>
        <w:spacing w:after="160"/>
        <w:rPr>
          <w:rFonts w:ascii="Times New Roman" w:eastAsia="Times New Roman" w:hAnsi="Times New Roman" w:cs="Times New Roman"/>
          <w:shd w:val="clear" w:color="auto" w:fill="606060"/>
        </w:rPr>
      </w:pPr>
      <w:r>
        <w:rPr>
          <w:rFonts w:ascii="Times New Roman" w:eastAsia="Times New Roman" w:hAnsi="Times New Roman" w:cs="Times New Roman"/>
        </w:rPr>
        <w:t>Additional results include:</w:t>
      </w:r>
      <w:r>
        <w:rPr>
          <w:rFonts w:ascii="Times New Roman" w:eastAsia="Times New Roman" w:hAnsi="Times New Roman" w:cs="Times New Roman"/>
          <w:shd w:val="clear" w:color="auto" w:fill="606060"/>
        </w:rPr>
        <w:t xml:space="preserve"> </w:t>
      </w:r>
    </w:p>
    <w:p w14:paraId="1D562014" w14:textId="7BF432EB" w:rsidR="00DC1115" w:rsidRDefault="00000000">
      <w:pPr>
        <w:numPr>
          <w:ilvl w:val="0"/>
          <w:numId w:val="1"/>
        </w:numPr>
        <w:ind w:left="1080"/>
        <w:rPr>
          <w:rFonts w:ascii="Times New Roman" w:eastAsia="Times New Roman" w:hAnsi="Times New Roman" w:cs="Times New Roman"/>
        </w:rPr>
      </w:pPr>
      <w:r>
        <w:rPr>
          <w:rFonts w:ascii="Times New Roman" w:eastAsia="Times New Roman" w:hAnsi="Times New Roman" w:cs="Times New Roman"/>
        </w:rPr>
        <w:t xml:space="preserve">Days with DeFi liquidations: </w:t>
      </w:r>
      <w:r w:rsidRPr="007A3D88">
        <w:rPr>
          <w:rFonts w:ascii="Times New Roman" w:eastAsia="Times New Roman" w:hAnsi="Times New Roman" w:cs="Times New Roman"/>
        </w:rPr>
        <w:t xml:space="preserve">104 </w:t>
      </w:r>
      <w:r>
        <w:rPr>
          <w:rFonts w:ascii="Times New Roman" w:eastAsia="Times New Roman" w:hAnsi="Times New Roman" w:cs="Times New Roman"/>
          <w:shd w:val="clear" w:color="auto" w:fill="606060"/>
        </w:rPr>
        <w:t xml:space="preserve"> </w:t>
      </w:r>
    </w:p>
    <w:p w14:paraId="0C196FD1" w14:textId="77777777" w:rsidR="00DC1115" w:rsidRDefault="00000000">
      <w:pPr>
        <w:numPr>
          <w:ilvl w:val="0"/>
          <w:numId w:val="12"/>
        </w:numPr>
        <w:ind w:left="1080"/>
        <w:rPr>
          <w:rFonts w:ascii="Times New Roman" w:eastAsia="Times New Roman" w:hAnsi="Times New Roman" w:cs="Times New Roman"/>
          <w:sz w:val="24"/>
          <w:szCs w:val="24"/>
        </w:rPr>
      </w:pPr>
      <w:r>
        <w:rPr>
          <w:rFonts w:ascii="Times New Roman" w:eastAsia="Times New Roman" w:hAnsi="Times New Roman" w:cs="Times New Roman"/>
        </w:rPr>
        <w:t>Days with hybrid liquidations: 3</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shd w:val="clear" w:color="auto" w:fill="606060"/>
        </w:rPr>
        <w:t xml:space="preserve"> </w:t>
      </w:r>
    </w:p>
    <w:p w14:paraId="46E36284" w14:textId="77777777" w:rsidR="00A53E97" w:rsidRPr="002F74B7" w:rsidRDefault="00000000">
      <w:pPr>
        <w:pStyle w:val="Heading2"/>
        <w:rPr>
          <w:rFonts w:ascii="Times New Roman" w:eastAsia="Times New Roman" w:hAnsi="Times New Roman" w:cs="Times New Roman"/>
        </w:rPr>
      </w:pPr>
      <w:r w:rsidRPr="002F74B7">
        <w:rPr>
          <w:rFonts w:ascii="Times New Roman" w:eastAsia="Times New Roman" w:hAnsi="Times New Roman" w:cs="Times New Roman"/>
        </w:rPr>
        <w:t>4.6 Static-LTV Control</w:t>
      </w:r>
    </w:p>
    <w:p w14:paraId="1C4747A2" w14:textId="38984CB2" w:rsidR="00A53E97" w:rsidRPr="002F74B7" w:rsidRDefault="00000000">
      <w:pPr>
        <w:shd w:val="clear" w:color="auto" w:fill="FFFFFF"/>
        <w:spacing w:after="160"/>
        <w:rPr>
          <w:rFonts w:ascii="Times New Roman" w:eastAsia="Times New Roman" w:hAnsi="Times New Roman" w:cs="Times New Roman"/>
        </w:rPr>
      </w:pPr>
      <w:r w:rsidRPr="002F74B7">
        <w:rPr>
          <w:rFonts w:ascii="Times New Roman" w:eastAsia="Times New Roman" w:hAnsi="Times New Roman" w:cs="Times New Roman"/>
        </w:rPr>
        <w:t>To isolate</w:t>
      </w:r>
      <w:r w:rsidR="001C6DBF" w:rsidRPr="002F74B7">
        <w:rPr>
          <w:rFonts w:ascii="Times New Roman" w:eastAsia="Times New Roman" w:hAnsi="Times New Roman" w:cs="Times New Roman"/>
        </w:rPr>
        <w:t xml:space="preserve"> and test</w:t>
      </w:r>
      <w:r w:rsidRPr="002F74B7">
        <w:rPr>
          <w:rFonts w:ascii="Times New Roman" w:eastAsia="Times New Roman" w:hAnsi="Times New Roman" w:cs="Times New Roman"/>
        </w:rPr>
        <w:t xml:space="preserve"> the contribution of the dynamic stress-testing layer, we ran a static control that fixes the effective LTV at a constant 0.485 - the level the hybrid model holds on average - with no stress-based adjustment. Across the same 500 daily positions and the same 2015-2025 price history, the static control produced 1,381 liquidations, within 1.5% of the hybrid model's 1,402 (a difference of 21). Under the current assumptions and historical data, the fixed conservative margin accounts for </w:t>
      </w:r>
      <w:r w:rsidR="001C6DBF" w:rsidRPr="002F74B7">
        <w:rPr>
          <w:rFonts w:ascii="Times New Roman" w:eastAsia="Times New Roman" w:hAnsi="Times New Roman" w:cs="Times New Roman"/>
        </w:rPr>
        <w:t>most of</w:t>
      </w:r>
      <w:r w:rsidRPr="002F74B7">
        <w:rPr>
          <w:rFonts w:ascii="Times New Roman" w:eastAsia="Times New Roman" w:hAnsi="Times New Roman" w:cs="Times New Roman"/>
        </w:rPr>
        <w:t xml:space="preserve"> the reduction, </w:t>
      </w:r>
      <w:r w:rsidR="001C6DBF" w:rsidRPr="002F74B7">
        <w:rPr>
          <w:rFonts w:ascii="Times New Roman" w:eastAsia="Times New Roman" w:hAnsi="Times New Roman" w:cs="Times New Roman"/>
        </w:rPr>
        <w:t>while</w:t>
      </w:r>
      <w:r w:rsidRPr="002F74B7">
        <w:rPr>
          <w:rFonts w:ascii="Times New Roman" w:eastAsia="Times New Roman" w:hAnsi="Times New Roman" w:cs="Times New Roman"/>
        </w:rPr>
        <w:t xml:space="preserve"> the dynamic layer adds little. The be</w:t>
      </w:r>
      <w:r w:rsidRPr="00B86292">
        <w:rPr>
          <w:rFonts w:ascii="Times New Roman" w:eastAsia="Times New Roman" w:hAnsi="Times New Roman" w:cs="Times New Roman"/>
        </w:rPr>
        <w:t>nefit therefore comes primarily from the reduced leverage level itself rather than from any stress-driven variation in it: because the hybrid's daily adjustment is quasi-static, fixing the cap at 0.485 reproduces almost the same result, confirming that the conservative level is what lowers liquidations</w:t>
      </w:r>
      <w:r w:rsidR="002F74B7" w:rsidRPr="00B86292">
        <w:rPr>
          <w:rFonts w:ascii="Times New Roman" w:eastAsia="Times New Roman" w:hAnsi="Times New Roman" w:cs="Times New Roman"/>
        </w:rPr>
        <w:t>.</w:t>
      </w:r>
    </w:p>
    <w:p w14:paraId="7593D7FB" w14:textId="1452C2B3" w:rsidR="00DC1115" w:rsidRDefault="00000000">
      <w:pPr>
        <w:pStyle w:val="Heading2"/>
        <w:rPr>
          <w:rFonts w:ascii="Times New Roman" w:eastAsia="Times New Roman" w:hAnsi="Times New Roman" w:cs="Times New Roman"/>
          <w:shd w:val="clear" w:color="auto" w:fill="606060"/>
        </w:rPr>
      </w:pPr>
      <w:r w:rsidRPr="001C6DBF">
        <w:rPr>
          <w:rFonts w:ascii="Times New Roman" w:eastAsia="Times New Roman" w:hAnsi="Times New Roman" w:cs="Times New Roman"/>
        </w:rPr>
        <w:t xml:space="preserve">4.7 </w:t>
      </w:r>
      <w:r>
        <w:rPr>
          <w:rFonts w:ascii="Times New Roman" w:eastAsia="Times New Roman" w:hAnsi="Times New Roman" w:cs="Times New Roman"/>
        </w:rPr>
        <w:t>Performance during market crashes</w:t>
      </w:r>
      <w:r>
        <w:rPr>
          <w:rFonts w:ascii="Times New Roman" w:eastAsia="Times New Roman" w:hAnsi="Times New Roman" w:cs="Times New Roman"/>
          <w:shd w:val="clear" w:color="auto" w:fill="606060"/>
        </w:rPr>
        <w:t xml:space="preserve"> </w:t>
      </w:r>
    </w:p>
    <w:p w14:paraId="43D1B8FC" w14:textId="77777777" w:rsidR="00DC1115" w:rsidRDefault="00000000">
      <w:pPr>
        <w:shd w:val="clear" w:color="auto" w:fill="FFFFFF"/>
        <w:spacing w:after="160"/>
        <w:ind w:firstLine="720"/>
        <w:rPr>
          <w:rFonts w:ascii="Times New Roman" w:eastAsia="Times New Roman" w:hAnsi="Times New Roman" w:cs="Times New Roman"/>
          <w:sz w:val="24"/>
          <w:szCs w:val="24"/>
          <w:shd w:val="clear" w:color="auto" w:fill="606060"/>
        </w:rPr>
      </w:pPr>
      <w:r>
        <w:rPr>
          <w:rFonts w:ascii="Times New Roman" w:eastAsia="Times New Roman" w:hAnsi="Times New Roman" w:cs="Times New Roman"/>
        </w:rPr>
        <w:t>The differences between the two models became even more noticeable during major market downturns</w:t>
      </w:r>
      <w:r>
        <w:rPr>
          <w:rFonts w:ascii="Times New Roman" w:eastAsia="Times New Roman" w:hAnsi="Times New Roman" w:cs="Times New Roman"/>
          <w:sz w:val="24"/>
          <w:szCs w:val="24"/>
        </w:rPr>
        <w:t>.</w:t>
      </w:r>
      <w:r>
        <w:rPr>
          <w:rFonts w:ascii="Times New Roman" w:eastAsia="Times New Roman" w:hAnsi="Times New Roman" w:cs="Times New Roman"/>
          <w:sz w:val="24"/>
          <w:szCs w:val="24"/>
          <w:shd w:val="clear" w:color="auto" w:fill="606060"/>
        </w:rPr>
        <w:t xml:space="preserve"> </w:t>
      </w:r>
    </w:p>
    <w:tbl>
      <w:tblPr>
        <w:tblStyle w:val="a0"/>
        <w:tblW w:w="863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885"/>
        <w:gridCol w:w="1440"/>
        <w:gridCol w:w="1350"/>
        <w:gridCol w:w="1350"/>
        <w:gridCol w:w="1350"/>
        <w:gridCol w:w="1260"/>
      </w:tblGrid>
      <w:tr w:rsidR="00DC1115" w14:paraId="12AF8C2A" w14:textId="77777777">
        <w:trPr>
          <w:trHeight w:val="628"/>
          <w:jc w:val="center"/>
        </w:trPr>
        <w:tc>
          <w:tcPr>
            <w:tcW w:w="188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FB27EAD" w14:textId="77777777" w:rsidR="00DC1115" w:rsidRDefault="00000000">
            <w:pPr>
              <w:spacing w:before="40" w:after="40"/>
              <w:ind w:left="-80"/>
              <w:jc w:val="center"/>
              <w:rPr>
                <w:rFonts w:ascii="Times New Roman" w:eastAsia="Times New Roman" w:hAnsi="Times New Roman" w:cs="Times New Roman"/>
                <w:sz w:val="18"/>
                <w:szCs w:val="18"/>
              </w:rPr>
            </w:pPr>
            <w:r>
              <w:rPr>
                <w:rFonts w:ascii="Times New Roman" w:eastAsia="Times New Roman" w:hAnsi="Times New Roman" w:cs="Times New Roman"/>
                <w:b/>
                <w:bCs/>
                <w:sz w:val="18"/>
                <w:szCs w:val="18"/>
              </w:rPr>
              <w:t>Crash</w:t>
            </w:r>
            <w:r>
              <w:rPr>
                <w:rFonts w:ascii="Times New Roman" w:eastAsia="Times New Roman" w:hAnsi="Times New Roman" w:cs="Times New Roman"/>
                <w:sz w:val="18"/>
                <w:szCs w:val="18"/>
              </w:rPr>
              <w:t xml:space="preserve"> </w:t>
            </w:r>
          </w:p>
        </w:tc>
        <w:tc>
          <w:tcPr>
            <w:tcW w:w="144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DB29899" w14:textId="77777777" w:rsidR="00DC1115" w:rsidRDefault="00000000">
            <w:pPr>
              <w:spacing w:before="40" w:after="40"/>
              <w:ind w:left="-8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 xml:space="preserve">DeFi </w:t>
            </w:r>
          </w:p>
          <w:p w14:paraId="2795190C" w14:textId="77777777" w:rsidR="00DC1115" w:rsidRDefault="00000000">
            <w:pPr>
              <w:spacing w:before="40" w:after="40"/>
              <w:ind w:left="-80"/>
              <w:jc w:val="center"/>
              <w:rPr>
                <w:rFonts w:ascii="Times New Roman" w:eastAsia="Times New Roman" w:hAnsi="Times New Roman" w:cs="Times New Roman"/>
                <w:sz w:val="18"/>
                <w:szCs w:val="18"/>
              </w:rPr>
            </w:pPr>
            <w:r>
              <w:rPr>
                <w:rFonts w:ascii="Times New Roman" w:eastAsia="Times New Roman" w:hAnsi="Times New Roman" w:cs="Times New Roman"/>
                <w:b/>
                <w:bCs/>
                <w:sz w:val="18"/>
                <w:szCs w:val="18"/>
              </w:rPr>
              <w:t>Liquidations</w:t>
            </w:r>
            <w:r>
              <w:rPr>
                <w:rFonts w:ascii="Times New Roman" w:eastAsia="Times New Roman" w:hAnsi="Times New Roman" w:cs="Times New Roman"/>
                <w:sz w:val="18"/>
                <w:szCs w:val="18"/>
              </w:rPr>
              <w:t xml:space="preserve"> </w:t>
            </w:r>
          </w:p>
        </w:tc>
        <w:tc>
          <w:tcPr>
            <w:tcW w:w="1350" w:type="dxa"/>
            <w:tcBorders>
              <w:top w:val="single" w:sz="4" w:space="0" w:color="000000"/>
              <w:left w:val="single" w:sz="4" w:space="0" w:color="000000"/>
              <w:bottom w:val="single" w:sz="4" w:space="0" w:color="000000"/>
              <w:right w:val="single" w:sz="4" w:space="0" w:color="000000"/>
            </w:tcBorders>
          </w:tcPr>
          <w:p w14:paraId="1DEEB7AE" w14:textId="77777777" w:rsidR="00DC1115" w:rsidRDefault="00000000">
            <w:pPr>
              <w:spacing w:before="40" w:after="40"/>
              <w:ind w:left="-8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DeFI</w:t>
            </w:r>
          </w:p>
          <w:p w14:paraId="6A094B46" w14:textId="77777777" w:rsidR="00DC1115" w:rsidRDefault="00000000">
            <w:pPr>
              <w:spacing w:before="40" w:after="40"/>
              <w:ind w:left="-8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Average HF</w:t>
            </w:r>
          </w:p>
        </w:tc>
        <w:tc>
          <w:tcPr>
            <w:tcW w:w="135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199BE0F" w14:textId="77777777" w:rsidR="00DC1115" w:rsidRDefault="00000000">
            <w:pPr>
              <w:spacing w:before="40" w:after="40"/>
              <w:ind w:left="-8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 xml:space="preserve">Hybrid </w:t>
            </w:r>
          </w:p>
          <w:p w14:paraId="021D0212" w14:textId="77777777" w:rsidR="00DC1115" w:rsidRDefault="00000000">
            <w:pPr>
              <w:spacing w:before="40" w:after="40"/>
              <w:ind w:left="-80"/>
              <w:jc w:val="center"/>
              <w:rPr>
                <w:rFonts w:ascii="Times New Roman" w:eastAsia="Times New Roman" w:hAnsi="Times New Roman" w:cs="Times New Roman"/>
                <w:sz w:val="18"/>
                <w:szCs w:val="18"/>
              </w:rPr>
            </w:pPr>
            <w:r>
              <w:rPr>
                <w:rFonts w:ascii="Times New Roman" w:eastAsia="Times New Roman" w:hAnsi="Times New Roman" w:cs="Times New Roman"/>
                <w:b/>
                <w:bCs/>
                <w:sz w:val="18"/>
                <w:szCs w:val="18"/>
              </w:rPr>
              <w:t>Liquidations</w:t>
            </w:r>
            <w:r>
              <w:rPr>
                <w:rFonts w:ascii="Times New Roman" w:eastAsia="Times New Roman" w:hAnsi="Times New Roman" w:cs="Times New Roman"/>
                <w:sz w:val="18"/>
                <w:szCs w:val="18"/>
              </w:rPr>
              <w:t xml:space="preserve"> </w:t>
            </w:r>
          </w:p>
        </w:tc>
        <w:tc>
          <w:tcPr>
            <w:tcW w:w="1350" w:type="dxa"/>
            <w:tcBorders>
              <w:top w:val="single" w:sz="4" w:space="0" w:color="000000"/>
              <w:left w:val="single" w:sz="4" w:space="0" w:color="000000"/>
              <w:bottom w:val="single" w:sz="4" w:space="0" w:color="000000"/>
              <w:right w:val="single" w:sz="4" w:space="0" w:color="000000"/>
            </w:tcBorders>
          </w:tcPr>
          <w:p w14:paraId="2DE51DFF" w14:textId="77777777" w:rsidR="00DC1115" w:rsidRDefault="00000000">
            <w:pPr>
              <w:spacing w:before="40" w:after="40"/>
              <w:ind w:left="-8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Hybrid Average HF</w:t>
            </w:r>
          </w:p>
        </w:tc>
        <w:tc>
          <w:tcPr>
            <w:tcW w:w="126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9BC7A1E" w14:textId="77777777" w:rsidR="00DC1115" w:rsidRDefault="00000000">
            <w:pPr>
              <w:spacing w:before="40" w:after="40"/>
              <w:ind w:left="-8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Reduction</w:t>
            </w:r>
          </w:p>
          <w:p w14:paraId="5EA59E1C" w14:textId="77777777" w:rsidR="00DC1115" w:rsidRDefault="00000000">
            <w:pPr>
              <w:spacing w:before="40" w:after="40"/>
              <w:ind w:left="-80"/>
              <w:jc w:val="center"/>
              <w:rPr>
                <w:rFonts w:ascii="Times New Roman" w:eastAsia="Times New Roman" w:hAnsi="Times New Roman" w:cs="Times New Roman"/>
                <w:sz w:val="18"/>
                <w:szCs w:val="18"/>
              </w:rPr>
            </w:pPr>
            <w:r>
              <w:rPr>
                <w:rFonts w:ascii="Times New Roman" w:eastAsia="Times New Roman" w:hAnsi="Times New Roman" w:cs="Times New Roman"/>
                <w:b/>
                <w:bCs/>
                <w:sz w:val="18"/>
                <w:szCs w:val="18"/>
              </w:rPr>
              <w:t>%</w:t>
            </w:r>
            <w:r>
              <w:rPr>
                <w:rFonts w:ascii="Times New Roman" w:eastAsia="Times New Roman" w:hAnsi="Times New Roman" w:cs="Times New Roman"/>
                <w:sz w:val="18"/>
                <w:szCs w:val="18"/>
              </w:rPr>
              <w:t xml:space="preserve"> </w:t>
            </w:r>
          </w:p>
        </w:tc>
      </w:tr>
      <w:tr w:rsidR="00DC1115" w14:paraId="04B1A4F0" w14:textId="77777777">
        <w:trPr>
          <w:trHeight w:val="574"/>
          <w:jc w:val="center"/>
        </w:trPr>
        <w:tc>
          <w:tcPr>
            <w:tcW w:w="188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3A0E1A0" w14:textId="77777777" w:rsidR="00DC1115" w:rsidRPr="001C6DBF" w:rsidRDefault="00000000">
            <w:pPr>
              <w:spacing w:before="40" w:after="40"/>
              <w:ind w:left="-80"/>
              <w:jc w:val="center"/>
              <w:rPr>
                <w:rFonts w:ascii="Times New Roman" w:eastAsia="Times New Roman" w:hAnsi="Times New Roman" w:cs="Times New Roman"/>
                <w:sz w:val="18"/>
                <w:szCs w:val="18"/>
              </w:rPr>
            </w:pPr>
            <w:r w:rsidRPr="001C6DBF">
              <w:rPr>
                <w:rFonts w:ascii="Times New Roman" w:eastAsia="Times New Roman" w:hAnsi="Times New Roman" w:cs="Times New Roman"/>
                <w:sz w:val="18"/>
                <w:szCs w:val="18"/>
              </w:rPr>
              <w:lastRenderedPageBreak/>
              <w:t xml:space="preserve">March 2020 </w:t>
            </w:r>
          </w:p>
          <w:p w14:paraId="7DFCA411" w14:textId="77777777" w:rsidR="00DC1115" w:rsidRPr="001C6DBF" w:rsidRDefault="00000000">
            <w:pPr>
              <w:spacing w:before="40" w:after="40"/>
              <w:ind w:left="-80"/>
              <w:jc w:val="center"/>
              <w:rPr>
                <w:rFonts w:ascii="Times New Roman" w:eastAsia="Times New Roman" w:hAnsi="Times New Roman" w:cs="Times New Roman"/>
                <w:sz w:val="18"/>
                <w:szCs w:val="18"/>
              </w:rPr>
            </w:pPr>
            <w:r w:rsidRPr="001C6DBF">
              <w:rPr>
                <w:rFonts w:ascii="Times New Roman" w:eastAsia="Times New Roman" w:hAnsi="Times New Roman" w:cs="Times New Roman"/>
                <w:sz w:val="18"/>
                <w:szCs w:val="18"/>
              </w:rPr>
              <w:t>COVID Crash</w:t>
            </w:r>
          </w:p>
        </w:tc>
        <w:tc>
          <w:tcPr>
            <w:tcW w:w="144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02F2493" w14:textId="386C7716" w:rsidR="00DC1115" w:rsidRPr="001C6DBF" w:rsidRDefault="00000000">
            <w:pPr>
              <w:spacing w:before="40" w:after="40"/>
              <w:ind w:left="-80"/>
              <w:jc w:val="center"/>
              <w:rPr>
                <w:rFonts w:ascii="Times New Roman" w:eastAsia="Times New Roman" w:hAnsi="Times New Roman" w:cs="Times New Roman"/>
                <w:sz w:val="18"/>
                <w:szCs w:val="18"/>
              </w:rPr>
            </w:pPr>
            <w:r w:rsidRPr="001C6DBF">
              <w:rPr>
                <w:rFonts w:ascii="Times New Roman" w:eastAsia="Times New Roman" w:hAnsi="Times New Roman" w:cs="Times New Roman"/>
                <w:sz w:val="18"/>
                <w:szCs w:val="18"/>
              </w:rPr>
              <w:t>1,059</w:t>
            </w:r>
          </w:p>
        </w:tc>
        <w:tc>
          <w:tcPr>
            <w:tcW w:w="1350" w:type="dxa"/>
            <w:tcBorders>
              <w:top w:val="single" w:sz="4" w:space="0" w:color="000000"/>
              <w:left w:val="single" w:sz="4" w:space="0" w:color="000000"/>
              <w:bottom w:val="single" w:sz="4" w:space="0" w:color="000000"/>
              <w:right w:val="single" w:sz="4" w:space="0" w:color="000000"/>
            </w:tcBorders>
          </w:tcPr>
          <w:p w14:paraId="0B9AF3BF" w14:textId="27F0EF47" w:rsidR="00DC1115" w:rsidRPr="001C6DBF" w:rsidRDefault="00000000">
            <w:pPr>
              <w:spacing w:before="40" w:after="40"/>
              <w:ind w:left="-80"/>
              <w:jc w:val="center"/>
              <w:rPr>
                <w:rFonts w:ascii="Times New Roman" w:eastAsia="Times New Roman" w:hAnsi="Times New Roman" w:cs="Times New Roman"/>
                <w:sz w:val="18"/>
                <w:szCs w:val="18"/>
              </w:rPr>
            </w:pPr>
            <w:r w:rsidRPr="001C6DBF">
              <w:rPr>
                <w:rFonts w:ascii="Times New Roman" w:eastAsia="Times New Roman" w:hAnsi="Times New Roman" w:cs="Times New Roman"/>
                <w:sz w:val="18"/>
                <w:szCs w:val="18"/>
              </w:rPr>
              <w:t>1.06</w:t>
            </w:r>
          </w:p>
        </w:tc>
        <w:tc>
          <w:tcPr>
            <w:tcW w:w="135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2859FC8" w14:textId="5CF909F2" w:rsidR="00DC1115" w:rsidRPr="001C6DBF" w:rsidRDefault="00000000">
            <w:pPr>
              <w:spacing w:before="40" w:after="40"/>
              <w:ind w:left="-80"/>
              <w:jc w:val="center"/>
              <w:rPr>
                <w:rFonts w:ascii="Times New Roman" w:eastAsia="Times New Roman" w:hAnsi="Times New Roman" w:cs="Times New Roman"/>
                <w:sz w:val="18"/>
                <w:szCs w:val="18"/>
              </w:rPr>
            </w:pPr>
            <w:r w:rsidRPr="001C6DBF">
              <w:rPr>
                <w:rFonts w:ascii="Times New Roman" w:eastAsia="Times New Roman" w:hAnsi="Times New Roman" w:cs="Times New Roman"/>
                <w:sz w:val="18"/>
                <w:szCs w:val="18"/>
              </w:rPr>
              <w:t>402</w:t>
            </w:r>
          </w:p>
        </w:tc>
        <w:tc>
          <w:tcPr>
            <w:tcW w:w="1350" w:type="dxa"/>
            <w:tcBorders>
              <w:top w:val="single" w:sz="4" w:space="0" w:color="000000"/>
              <w:left w:val="single" w:sz="4" w:space="0" w:color="000000"/>
              <w:bottom w:val="single" w:sz="4" w:space="0" w:color="000000"/>
              <w:right w:val="single" w:sz="4" w:space="0" w:color="000000"/>
            </w:tcBorders>
          </w:tcPr>
          <w:p w14:paraId="6B4F9ABD" w14:textId="476DAD50" w:rsidR="00DC1115" w:rsidRPr="001C6DBF" w:rsidRDefault="00000000">
            <w:pPr>
              <w:spacing w:before="40" w:after="40"/>
              <w:ind w:left="-80"/>
              <w:jc w:val="center"/>
              <w:rPr>
                <w:rFonts w:ascii="Times New Roman" w:eastAsia="Times New Roman" w:hAnsi="Times New Roman" w:cs="Times New Roman"/>
                <w:sz w:val="18"/>
                <w:szCs w:val="18"/>
              </w:rPr>
            </w:pPr>
            <w:r w:rsidRPr="001C6DBF">
              <w:rPr>
                <w:rFonts w:ascii="Times New Roman" w:eastAsia="Times New Roman" w:hAnsi="Times New Roman" w:cs="Times New Roman"/>
                <w:sz w:val="18"/>
                <w:szCs w:val="18"/>
              </w:rPr>
              <w:t>1.44</w:t>
            </w:r>
          </w:p>
        </w:tc>
        <w:tc>
          <w:tcPr>
            <w:tcW w:w="126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7F031C1" w14:textId="0D771F02" w:rsidR="00DC1115" w:rsidRPr="001C6DBF" w:rsidRDefault="00000000">
            <w:pPr>
              <w:spacing w:before="40" w:after="40"/>
              <w:ind w:left="-80"/>
              <w:jc w:val="center"/>
              <w:rPr>
                <w:rFonts w:ascii="Times New Roman" w:eastAsia="Times New Roman" w:hAnsi="Times New Roman" w:cs="Times New Roman"/>
                <w:sz w:val="18"/>
                <w:szCs w:val="18"/>
              </w:rPr>
            </w:pPr>
            <w:r w:rsidRPr="001C6DBF">
              <w:rPr>
                <w:rFonts w:ascii="Times New Roman" w:eastAsia="Times New Roman" w:hAnsi="Times New Roman" w:cs="Times New Roman"/>
                <w:sz w:val="18"/>
                <w:szCs w:val="18"/>
              </w:rPr>
              <w:t>62</w:t>
            </w:r>
          </w:p>
        </w:tc>
      </w:tr>
      <w:tr w:rsidR="00DC1115" w14:paraId="2FA17F5C" w14:textId="77777777">
        <w:trPr>
          <w:trHeight w:val="583"/>
          <w:jc w:val="center"/>
        </w:trPr>
        <w:tc>
          <w:tcPr>
            <w:tcW w:w="188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E114D47" w14:textId="77777777" w:rsidR="00DC1115" w:rsidRPr="001C6DBF" w:rsidRDefault="00000000">
            <w:pPr>
              <w:spacing w:before="40" w:after="40"/>
              <w:ind w:left="-80"/>
              <w:jc w:val="center"/>
              <w:rPr>
                <w:rFonts w:ascii="Times New Roman" w:eastAsia="Times New Roman" w:hAnsi="Times New Roman" w:cs="Times New Roman"/>
                <w:sz w:val="18"/>
                <w:szCs w:val="18"/>
              </w:rPr>
            </w:pPr>
            <w:r w:rsidRPr="001C6DBF">
              <w:rPr>
                <w:rFonts w:ascii="Times New Roman" w:eastAsia="Times New Roman" w:hAnsi="Times New Roman" w:cs="Times New Roman"/>
                <w:sz w:val="18"/>
                <w:szCs w:val="18"/>
              </w:rPr>
              <w:t>May 2021</w:t>
            </w:r>
          </w:p>
          <w:p w14:paraId="68CE5835" w14:textId="77777777" w:rsidR="00DC1115" w:rsidRPr="001C6DBF" w:rsidRDefault="00000000">
            <w:pPr>
              <w:spacing w:before="40" w:after="40"/>
              <w:ind w:left="-80"/>
              <w:jc w:val="center"/>
              <w:rPr>
                <w:rFonts w:ascii="Times New Roman" w:eastAsia="Times New Roman" w:hAnsi="Times New Roman" w:cs="Times New Roman"/>
                <w:sz w:val="18"/>
                <w:szCs w:val="18"/>
              </w:rPr>
            </w:pPr>
            <w:r w:rsidRPr="001C6DBF">
              <w:rPr>
                <w:rFonts w:ascii="Times New Roman" w:eastAsia="Times New Roman" w:hAnsi="Times New Roman" w:cs="Times New Roman"/>
                <w:sz w:val="18"/>
                <w:szCs w:val="18"/>
              </w:rPr>
              <w:t xml:space="preserve"> Crypto Crash</w:t>
            </w:r>
          </w:p>
        </w:tc>
        <w:tc>
          <w:tcPr>
            <w:tcW w:w="144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F1AEB07" w14:textId="37AE4A19" w:rsidR="00DC1115" w:rsidRPr="001C6DBF" w:rsidRDefault="00000000">
            <w:pPr>
              <w:spacing w:before="40" w:after="40"/>
              <w:ind w:left="-80"/>
              <w:jc w:val="center"/>
              <w:rPr>
                <w:rFonts w:ascii="Times New Roman" w:eastAsia="Times New Roman" w:hAnsi="Times New Roman" w:cs="Times New Roman"/>
                <w:sz w:val="18"/>
                <w:szCs w:val="18"/>
              </w:rPr>
            </w:pPr>
            <w:r w:rsidRPr="001C6DBF">
              <w:rPr>
                <w:rFonts w:ascii="Times New Roman" w:eastAsia="Times New Roman" w:hAnsi="Times New Roman" w:cs="Times New Roman"/>
                <w:sz w:val="18"/>
                <w:szCs w:val="18"/>
              </w:rPr>
              <w:t>1,255</w:t>
            </w:r>
          </w:p>
        </w:tc>
        <w:tc>
          <w:tcPr>
            <w:tcW w:w="1350" w:type="dxa"/>
            <w:tcBorders>
              <w:top w:val="single" w:sz="4" w:space="0" w:color="000000"/>
              <w:left w:val="single" w:sz="4" w:space="0" w:color="000000"/>
              <w:bottom w:val="single" w:sz="4" w:space="0" w:color="000000"/>
              <w:right w:val="single" w:sz="4" w:space="0" w:color="000000"/>
            </w:tcBorders>
          </w:tcPr>
          <w:p w14:paraId="56B75C75" w14:textId="77777777" w:rsidR="00DC1115" w:rsidRPr="001C6DBF" w:rsidRDefault="00000000">
            <w:pPr>
              <w:spacing w:before="40" w:after="40"/>
              <w:ind w:left="-80"/>
              <w:jc w:val="center"/>
              <w:rPr>
                <w:rFonts w:ascii="Times New Roman" w:eastAsia="Times New Roman" w:hAnsi="Times New Roman" w:cs="Times New Roman"/>
                <w:sz w:val="18"/>
                <w:szCs w:val="18"/>
              </w:rPr>
            </w:pPr>
            <w:r w:rsidRPr="001C6DBF">
              <w:rPr>
                <w:rFonts w:ascii="Times New Roman" w:eastAsia="Times New Roman" w:hAnsi="Times New Roman" w:cs="Times New Roman"/>
                <w:sz w:val="18"/>
                <w:szCs w:val="18"/>
              </w:rPr>
              <w:t>1.07</w:t>
            </w:r>
          </w:p>
        </w:tc>
        <w:tc>
          <w:tcPr>
            <w:tcW w:w="135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362EA71" w14:textId="77777777" w:rsidR="00DC1115" w:rsidRPr="001C6DBF" w:rsidRDefault="00000000">
            <w:pPr>
              <w:spacing w:before="40" w:after="40"/>
              <w:ind w:left="-80"/>
              <w:jc w:val="center"/>
              <w:rPr>
                <w:rFonts w:ascii="Times New Roman" w:eastAsia="Times New Roman" w:hAnsi="Times New Roman" w:cs="Times New Roman"/>
                <w:sz w:val="18"/>
                <w:szCs w:val="18"/>
              </w:rPr>
            </w:pPr>
            <w:r w:rsidRPr="001C6DBF">
              <w:rPr>
                <w:rFonts w:ascii="Times New Roman" w:eastAsia="Times New Roman" w:hAnsi="Times New Roman" w:cs="Times New Roman"/>
                <w:sz w:val="18"/>
                <w:szCs w:val="18"/>
              </w:rPr>
              <w:t>0</w:t>
            </w:r>
          </w:p>
        </w:tc>
        <w:tc>
          <w:tcPr>
            <w:tcW w:w="1350" w:type="dxa"/>
            <w:tcBorders>
              <w:top w:val="single" w:sz="4" w:space="0" w:color="000000"/>
              <w:left w:val="single" w:sz="4" w:space="0" w:color="000000"/>
              <w:bottom w:val="single" w:sz="4" w:space="0" w:color="000000"/>
              <w:right w:val="single" w:sz="4" w:space="0" w:color="000000"/>
            </w:tcBorders>
          </w:tcPr>
          <w:p w14:paraId="14C8C725" w14:textId="62A353C6" w:rsidR="00DC1115" w:rsidRPr="001C6DBF" w:rsidRDefault="00000000">
            <w:pPr>
              <w:spacing w:before="40" w:after="40"/>
              <w:ind w:left="-80"/>
              <w:jc w:val="center"/>
              <w:rPr>
                <w:rFonts w:ascii="Times New Roman" w:eastAsia="Times New Roman" w:hAnsi="Times New Roman" w:cs="Times New Roman"/>
                <w:sz w:val="18"/>
                <w:szCs w:val="18"/>
              </w:rPr>
            </w:pPr>
            <w:r w:rsidRPr="001C6DBF">
              <w:rPr>
                <w:rFonts w:ascii="Times New Roman" w:eastAsia="Times New Roman" w:hAnsi="Times New Roman" w:cs="Times New Roman"/>
                <w:sz w:val="18"/>
                <w:szCs w:val="18"/>
              </w:rPr>
              <w:t>1.45</w:t>
            </w:r>
          </w:p>
        </w:tc>
        <w:tc>
          <w:tcPr>
            <w:tcW w:w="126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58CA4F7" w14:textId="77777777" w:rsidR="00DC1115" w:rsidRPr="001C6DBF" w:rsidRDefault="00000000">
            <w:pPr>
              <w:spacing w:before="40" w:after="40"/>
              <w:ind w:left="-80"/>
              <w:jc w:val="center"/>
              <w:rPr>
                <w:rFonts w:ascii="Times New Roman" w:eastAsia="Times New Roman" w:hAnsi="Times New Roman" w:cs="Times New Roman"/>
                <w:sz w:val="18"/>
                <w:szCs w:val="18"/>
              </w:rPr>
            </w:pPr>
            <w:r w:rsidRPr="001C6DBF">
              <w:rPr>
                <w:rFonts w:ascii="Times New Roman" w:eastAsia="Times New Roman" w:hAnsi="Times New Roman" w:cs="Times New Roman"/>
                <w:sz w:val="18"/>
                <w:szCs w:val="18"/>
              </w:rPr>
              <w:t>100</w:t>
            </w:r>
          </w:p>
        </w:tc>
      </w:tr>
      <w:tr w:rsidR="00DC1115" w14:paraId="11FD38F9" w14:textId="77777777">
        <w:trPr>
          <w:trHeight w:val="502"/>
          <w:jc w:val="center"/>
        </w:trPr>
        <w:tc>
          <w:tcPr>
            <w:tcW w:w="188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19FA7FD" w14:textId="77777777" w:rsidR="00DC1115" w:rsidRPr="001C6DBF" w:rsidRDefault="00000000">
            <w:pPr>
              <w:spacing w:before="40" w:after="40"/>
              <w:ind w:left="-80"/>
              <w:jc w:val="center"/>
              <w:rPr>
                <w:rFonts w:ascii="Times New Roman" w:eastAsia="Times New Roman" w:hAnsi="Times New Roman" w:cs="Times New Roman"/>
                <w:sz w:val="18"/>
                <w:szCs w:val="18"/>
              </w:rPr>
            </w:pPr>
            <w:r w:rsidRPr="001C6DBF">
              <w:rPr>
                <w:rFonts w:ascii="Times New Roman" w:eastAsia="Times New Roman" w:hAnsi="Times New Roman" w:cs="Times New Roman"/>
                <w:sz w:val="18"/>
                <w:szCs w:val="18"/>
              </w:rPr>
              <w:t xml:space="preserve">FTX Collapse </w:t>
            </w:r>
          </w:p>
          <w:p w14:paraId="44FC7E42" w14:textId="77777777" w:rsidR="00DC1115" w:rsidRPr="001C6DBF" w:rsidRDefault="00000000">
            <w:pPr>
              <w:spacing w:before="40" w:after="40"/>
              <w:ind w:left="-80"/>
              <w:jc w:val="center"/>
              <w:rPr>
                <w:rFonts w:ascii="Times New Roman" w:eastAsia="Times New Roman" w:hAnsi="Times New Roman" w:cs="Times New Roman"/>
                <w:sz w:val="18"/>
                <w:szCs w:val="18"/>
              </w:rPr>
            </w:pPr>
            <w:r w:rsidRPr="001C6DBF">
              <w:rPr>
                <w:rFonts w:ascii="Times New Roman" w:eastAsia="Times New Roman" w:hAnsi="Times New Roman" w:cs="Times New Roman"/>
                <w:sz w:val="18"/>
                <w:szCs w:val="18"/>
              </w:rPr>
              <w:t>2022</w:t>
            </w:r>
          </w:p>
        </w:tc>
        <w:tc>
          <w:tcPr>
            <w:tcW w:w="144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58492A7" w14:textId="68F1EA79" w:rsidR="00DC1115" w:rsidRPr="001C6DBF" w:rsidRDefault="00000000">
            <w:pPr>
              <w:spacing w:before="40" w:after="40"/>
              <w:ind w:left="-80"/>
              <w:jc w:val="center"/>
              <w:rPr>
                <w:rFonts w:ascii="Times New Roman" w:eastAsia="Times New Roman" w:hAnsi="Times New Roman" w:cs="Times New Roman"/>
                <w:sz w:val="18"/>
                <w:szCs w:val="18"/>
              </w:rPr>
            </w:pPr>
            <w:r w:rsidRPr="001C6DBF">
              <w:rPr>
                <w:rFonts w:ascii="Times New Roman" w:eastAsia="Times New Roman" w:hAnsi="Times New Roman" w:cs="Times New Roman"/>
                <w:sz w:val="18"/>
                <w:szCs w:val="18"/>
              </w:rPr>
              <w:t>872</w:t>
            </w:r>
          </w:p>
        </w:tc>
        <w:tc>
          <w:tcPr>
            <w:tcW w:w="1350" w:type="dxa"/>
            <w:tcBorders>
              <w:top w:val="single" w:sz="4" w:space="0" w:color="000000"/>
              <w:left w:val="single" w:sz="4" w:space="0" w:color="000000"/>
              <w:bottom w:val="single" w:sz="4" w:space="0" w:color="000000"/>
              <w:right w:val="single" w:sz="4" w:space="0" w:color="000000"/>
            </w:tcBorders>
          </w:tcPr>
          <w:p w14:paraId="69FAE0FD" w14:textId="77777777" w:rsidR="00DC1115" w:rsidRPr="001C6DBF" w:rsidRDefault="00000000">
            <w:pPr>
              <w:spacing w:before="40" w:after="40"/>
              <w:ind w:left="-80"/>
              <w:jc w:val="center"/>
              <w:rPr>
                <w:rFonts w:ascii="Times New Roman" w:eastAsia="Times New Roman" w:hAnsi="Times New Roman" w:cs="Times New Roman"/>
                <w:sz w:val="18"/>
                <w:szCs w:val="18"/>
              </w:rPr>
            </w:pPr>
            <w:r w:rsidRPr="001C6DBF">
              <w:rPr>
                <w:rFonts w:ascii="Times New Roman" w:eastAsia="Times New Roman" w:hAnsi="Times New Roman" w:cs="Times New Roman"/>
                <w:sz w:val="18"/>
                <w:szCs w:val="18"/>
              </w:rPr>
              <w:t>1.07</w:t>
            </w:r>
          </w:p>
        </w:tc>
        <w:tc>
          <w:tcPr>
            <w:tcW w:w="135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8963F52" w14:textId="77777777" w:rsidR="00DC1115" w:rsidRPr="001C6DBF" w:rsidRDefault="00000000">
            <w:pPr>
              <w:spacing w:before="40" w:after="40"/>
              <w:ind w:left="-80"/>
              <w:jc w:val="center"/>
              <w:rPr>
                <w:rFonts w:ascii="Times New Roman" w:eastAsia="Times New Roman" w:hAnsi="Times New Roman" w:cs="Times New Roman"/>
                <w:sz w:val="18"/>
                <w:szCs w:val="18"/>
              </w:rPr>
            </w:pPr>
            <w:r w:rsidRPr="001C6DBF">
              <w:rPr>
                <w:rFonts w:ascii="Times New Roman" w:eastAsia="Times New Roman" w:hAnsi="Times New Roman" w:cs="Times New Roman"/>
                <w:sz w:val="18"/>
                <w:szCs w:val="18"/>
              </w:rPr>
              <w:t>0</w:t>
            </w:r>
          </w:p>
        </w:tc>
        <w:tc>
          <w:tcPr>
            <w:tcW w:w="1350" w:type="dxa"/>
            <w:tcBorders>
              <w:top w:val="single" w:sz="4" w:space="0" w:color="000000"/>
              <w:left w:val="single" w:sz="4" w:space="0" w:color="000000"/>
              <w:bottom w:val="single" w:sz="4" w:space="0" w:color="000000"/>
              <w:right w:val="single" w:sz="4" w:space="0" w:color="000000"/>
            </w:tcBorders>
          </w:tcPr>
          <w:p w14:paraId="17081ED5" w14:textId="296F01E7" w:rsidR="00DC1115" w:rsidRPr="001C6DBF" w:rsidRDefault="00000000">
            <w:pPr>
              <w:spacing w:before="40" w:after="40"/>
              <w:ind w:left="-80"/>
              <w:jc w:val="center"/>
              <w:rPr>
                <w:rFonts w:ascii="Times New Roman" w:eastAsia="Times New Roman" w:hAnsi="Times New Roman" w:cs="Times New Roman"/>
                <w:sz w:val="18"/>
                <w:szCs w:val="18"/>
              </w:rPr>
            </w:pPr>
            <w:r w:rsidRPr="001C6DBF">
              <w:rPr>
                <w:rFonts w:ascii="Times New Roman" w:eastAsia="Times New Roman" w:hAnsi="Times New Roman" w:cs="Times New Roman"/>
                <w:sz w:val="18"/>
                <w:szCs w:val="18"/>
              </w:rPr>
              <w:t>1.45</w:t>
            </w:r>
          </w:p>
        </w:tc>
        <w:tc>
          <w:tcPr>
            <w:tcW w:w="126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D939664" w14:textId="77777777" w:rsidR="00DC1115" w:rsidRPr="001C6DBF" w:rsidRDefault="00000000">
            <w:pPr>
              <w:spacing w:before="40" w:after="40"/>
              <w:ind w:left="-80"/>
              <w:jc w:val="center"/>
              <w:rPr>
                <w:rFonts w:ascii="Times New Roman" w:eastAsia="Times New Roman" w:hAnsi="Times New Roman" w:cs="Times New Roman"/>
                <w:sz w:val="18"/>
                <w:szCs w:val="18"/>
              </w:rPr>
            </w:pPr>
            <w:r w:rsidRPr="001C6DBF">
              <w:rPr>
                <w:rFonts w:ascii="Times New Roman" w:eastAsia="Times New Roman" w:hAnsi="Times New Roman" w:cs="Times New Roman"/>
                <w:sz w:val="18"/>
                <w:szCs w:val="18"/>
              </w:rPr>
              <w:t>100</w:t>
            </w:r>
          </w:p>
        </w:tc>
      </w:tr>
      <w:tr w:rsidR="00DC1115" w14:paraId="57E08CBF" w14:textId="77777777">
        <w:trPr>
          <w:trHeight w:val="502"/>
          <w:jc w:val="center"/>
        </w:trPr>
        <w:tc>
          <w:tcPr>
            <w:tcW w:w="188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A7F563D" w14:textId="77777777" w:rsidR="00DC1115" w:rsidRPr="001C6DBF" w:rsidRDefault="00000000">
            <w:pPr>
              <w:spacing w:before="40" w:after="40"/>
              <w:ind w:left="-80"/>
              <w:jc w:val="center"/>
              <w:rPr>
                <w:rFonts w:ascii="Times New Roman" w:eastAsia="Times New Roman" w:hAnsi="Times New Roman" w:cs="Times New Roman"/>
                <w:sz w:val="18"/>
                <w:szCs w:val="18"/>
              </w:rPr>
            </w:pPr>
            <w:r w:rsidRPr="001C6DBF">
              <w:rPr>
                <w:rFonts w:ascii="Times New Roman" w:eastAsia="Times New Roman" w:hAnsi="Times New Roman" w:cs="Times New Roman"/>
                <w:sz w:val="18"/>
                <w:szCs w:val="18"/>
              </w:rPr>
              <w:t xml:space="preserve">SVB Collapse </w:t>
            </w:r>
          </w:p>
          <w:p w14:paraId="421C3B53" w14:textId="77777777" w:rsidR="00DC1115" w:rsidRPr="001C6DBF" w:rsidRDefault="00000000">
            <w:pPr>
              <w:spacing w:before="40" w:after="40"/>
              <w:ind w:left="-80"/>
              <w:jc w:val="center"/>
              <w:rPr>
                <w:rFonts w:ascii="Times New Roman" w:eastAsia="Times New Roman" w:hAnsi="Times New Roman" w:cs="Times New Roman"/>
                <w:sz w:val="18"/>
                <w:szCs w:val="18"/>
              </w:rPr>
            </w:pPr>
            <w:r w:rsidRPr="001C6DBF">
              <w:rPr>
                <w:rFonts w:ascii="Times New Roman" w:eastAsia="Times New Roman" w:hAnsi="Times New Roman" w:cs="Times New Roman"/>
                <w:sz w:val="18"/>
                <w:szCs w:val="18"/>
              </w:rPr>
              <w:t>2023</w:t>
            </w:r>
          </w:p>
        </w:tc>
        <w:tc>
          <w:tcPr>
            <w:tcW w:w="144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01CBED6" w14:textId="77777777" w:rsidR="00DC1115" w:rsidRPr="001C6DBF" w:rsidRDefault="00000000">
            <w:pPr>
              <w:spacing w:before="40" w:after="40"/>
              <w:ind w:left="-80"/>
              <w:jc w:val="center"/>
              <w:rPr>
                <w:rFonts w:ascii="Times New Roman" w:eastAsia="Times New Roman" w:hAnsi="Times New Roman" w:cs="Times New Roman"/>
                <w:sz w:val="18"/>
                <w:szCs w:val="18"/>
              </w:rPr>
            </w:pPr>
            <w:r w:rsidRPr="001C6DBF">
              <w:rPr>
                <w:rFonts w:ascii="Times New Roman" w:eastAsia="Times New Roman" w:hAnsi="Times New Roman" w:cs="Times New Roman"/>
                <w:sz w:val="18"/>
                <w:szCs w:val="18"/>
              </w:rPr>
              <w:t>0</w:t>
            </w:r>
          </w:p>
        </w:tc>
        <w:tc>
          <w:tcPr>
            <w:tcW w:w="1350" w:type="dxa"/>
            <w:tcBorders>
              <w:top w:val="single" w:sz="4" w:space="0" w:color="000000"/>
              <w:left w:val="single" w:sz="4" w:space="0" w:color="000000"/>
              <w:bottom w:val="single" w:sz="4" w:space="0" w:color="000000"/>
              <w:right w:val="single" w:sz="4" w:space="0" w:color="000000"/>
            </w:tcBorders>
          </w:tcPr>
          <w:p w14:paraId="79D1EFDB" w14:textId="77777777" w:rsidR="00DC1115" w:rsidRPr="001C6DBF" w:rsidRDefault="00000000">
            <w:pPr>
              <w:spacing w:before="40" w:after="40"/>
              <w:ind w:left="-80"/>
              <w:jc w:val="center"/>
              <w:rPr>
                <w:rFonts w:ascii="Times New Roman" w:eastAsia="Times New Roman" w:hAnsi="Times New Roman" w:cs="Times New Roman"/>
                <w:sz w:val="18"/>
                <w:szCs w:val="18"/>
              </w:rPr>
            </w:pPr>
            <w:r w:rsidRPr="001C6DBF">
              <w:rPr>
                <w:rFonts w:ascii="Times New Roman" w:eastAsia="Times New Roman" w:hAnsi="Times New Roman" w:cs="Times New Roman"/>
                <w:sz w:val="18"/>
                <w:szCs w:val="18"/>
              </w:rPr>
              <w:t>1.08</w:t>
            </w:r>
          </w:p>
        </w:tc>
        <w:tc>
          <w:tcPr>
            <w:tcW w:w="135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5EB95C7" w14:textId="77777777" w:rsidR="00DC1115" w:rsidRPr="001C6DBF" w:rsidRDefault="00000000">
            <w:pPr>
              <w:spacing w:before="40" w:after="40"/>
              <w:ind w:left="-80"/>
              <w:jc w:val="center"/>
              <w:rPr>
                <w:rFonts w:ascii="Times New Roman" w:eastAsia="Times New Roman" w:hAnsi="Times New Roman" w:cs="Times New Roman"/>
                <w:sz w:val="18"/>
                <w:szCs w:val="18"/>
              </w:rPr>
            </w:pPr>
            <w:r w:rsidRPr="001C6DBF">
              <w:rPr>
                <w:rFonts w:ascii="Times New Roman" w:eastAsia="Times New Roman" w:hAnsi="Times New Roman" w:cs="Times New Roman"/>
                <w:sz w:val="18"/>
                <w:szCs w:val="18"/>
              </w:rPr>
              <w:t>0</w:t>
            </w:r>
          </w:p>
        </w:tc>
        <w:tc>
          <w:tcPr>
            <w:tcW w:w="1350" w:type="dxa"/>
            <w:tcBorders>
              <w:top w:val="single" w:sz="4" w:space="0" w:color="000000"/>
              <w:left w:val="single" w:sz="4" w:space="0" w:color="000000"/>
              <w:bottom w:val="single" w:sz="4" w:space="0" w:color="000000"/>
              <w:right w:val="single" w:sz="4" w:space="0" w:color="000000"/>
            </w:tcBorders>
          </w:tcPr>
          <w:p w14:paraId="39DDB874" w14:textId="23D030E2" w:rsidR="00DC1115" w:rsidRPr="001C6DBF" w:rsidRDefault="00000000">
            <w:pPr>
              <w:spacing w:before="40" w:after="40"/>
              <w:ind w:left="-80"/>
              <w:jc w:val="center"/>
              <w:rPr>
                <w:rFonts w:ascii="Times New Roman" w:eastAsia="Times New Roman" w:hAnsi="Times New Roman" w:cs="Times New Roman"/>
                <w:sz w:val="18"/>
                <w:szCs w:val="18"/>
              </w:rPr>
            </w:pPr>
            <w:r w:rsidRPr="001C6DBF">
              <w:rPr>
                <w:rFonts w:ascii="Times New Roman" w:eastAsia="Times New Roman" w:hAnsi="Times New Roman" w:cs="Times New Roman"/>
                <w:sz w:val="18"/>
                <w:szCs w:val="18"/>
              </w:rPr>
              <w:t>1.46</w:t>
            </w:r>
          </w:p>
        </w:tc>
        <w:tc>
          <w:tcPr>
            <w:tcW w:w="126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9FA06B9" w14:textId="77777777" w:rsidR="00DC1115" w:rsidRPr="001C6DBF" w:rsidRDefault="00000000">
            <w:pPr>
              <w:spacing w:before="40" w:after="40"/>
              <w:ind w:left="-80"/>
              <w:jc w:val="center"/>
              <w:rPr>
                <w:rFonts w:ascii="Times New Roman" w:eastAsia="Times New Roman" w:hAnsi="Times New Roman" w:cs="Times New Roman"/>
                <w:sz w:val="18"/>
                <w:szCs w:val="18"/>
              </w:rPr>
            </w:pPr>
            <w:r w:rsidRPr="001C6DBF">
              <w:rPr>
                <w:rFonts w:ascii="Times New Roman" w:eastAsia="Times New Roman" w:hAnsi="Times New Roman" w:cs="Times New Roman"/>
                <w:sz w:val="18"/>
                <w:szCs w:val="18"/>
              </w:rPr>
              <w:t>0</w:t>
            </w:r>
          </w:p>
        </w:tc>
      </w:tr>
      <w:tr w:rsidR="00DC1115" w14:paraId="34354691" w14:textId="77777777">
        <w:trPr>
          <w:trHeight w:val="420"/>
          <w:jc w:val="center"/>
        </w:trPr>
        <w:tc>
          <w:tcPr>
            <w:tcW w:w="188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C84554D" w14:textId="77777777" w:rsidR="00DC1115" w:rsidRPr="001C6DBF" w:rsidRDefault="00000000">
            <w:pPr>
              <w:spacing w:before="40" w:after="40"/>
              <w:ind w:left="-80"/>
              <w:jc w:val="center"/>
              <w:rPr>
                <w:rFonts w:ascii="Times New Roman" w:eastAsia="Times New Roman" w:hAnsi="Times New Roman" w:cs="Times New Roman"/>
                <w:sz w:val="18"/>
                <w:szCs w:val="18"/>
              </w:rPr>
            </w:pPr>
            <w:r w:rsidRPr="001C6DBF">
              <w:rPr>
                <w:rFonts w:ascii="Times New Roman" w:eastAsia="Times New Roman" w:hAnsi="Times New Roman" w:cs="Times New Roman"/>
                <w:sz w:val="18"/>
                <w:szCs w:val="18"/>
              </w:rPr>
              <w:t>2025 Tariff Crash</w:t>
            </w:r>
          </w:p>
        </w:tc>
        <w:tc>
          <w:tcPr>
            <w:tcW w:w="144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BC9439D" w14:textId="335D2A78" w:rsidR="00DC1115" w:rsidRPr="001C6DBF" w:rsidRDefault="00000000">
            <w:pPr>
              <w:spacing w:before="40" w:after="40"/>
              <w:ind w:left="-80"/>
              <w:jc w:val="center"/>
              <w:rPr>
                <w:rFonts w:ascii="Times New Roman" w:eastAsia="Times New Roman" w:hAnsi="Times New Roman" w:cs="Times New Roman"/>
                <w:sz w:val="18"/>
                <w:szCs w:val="18"/>
              </w:rPr>
            </w:pPr>
            <w:r w:rsidRPr="001C6DBF">
              <w:rPr>
                <w:rFonts w:ascii="Times New Roman" w:eastAsia="Times New Roman" w:hAnsi="Times New Roman" w:cs="Times New Roman"/>
                <w:sz w:val="18"/>
                <w:szCs w:val="18"/>
              </w:rPr>
              <w:t>204</w:t>
            </w:r>
          </w:p>
        </w:tc>
        <w:tc>
          <w:tcPr>
            <w:tcW w:w="1350" w:type="dxa"/>
            <w:tcBorders>
              <w:top w:val="single" w:sz="4" w:space="0" w:color="000000"/>
              <w:left w:val="single" w:sz="4" w:space="0" w:color="000000"/>
              <w:bottom w:val="single" w:sz="4" w:space="0" w:color="000000"/>
              <w:right w:val="single" w:sz="4" w:space="0" w:color="000000"/>
            </w:tcBorders>
          </w:tcPr>
          <w:p w14:paraId="5333B34D" w14:textId="77777777" w:rsidR="00DC1115" w:rsidRPr="001C6DBF" w:rsidRDefault="00000000">
            <w:pPr>
              <w:spacing w:before="40" w:after="40"/>
              <w:ind w:left="-80"/>
              <w:jc w:val="center"/>
              <w:rPr>
                <w:rFonts w:ascii="Times New Roman" w:eastAsia="Times New Roman" w:hAnsi="Times New Roman" w:cs="Times New Roman"/>
                <w:sz w:val="18"/>
                <w:szCs w:val="18"/>
              </w:rPr>
            </w:pPr>
            <w:r w:rsidRPr="001C6DBF">
              <w:rPr>
                <w:rFonts w:ascii="Times New Roman" w:eastAsia="Times New Roman" w:hAnsi="Times New Roman" w:cs="Times New Roman"/>
                <w:sz w:val="18"/>
                <w:szCs w:val="18"/>
              </w:rPr>
              <w:t>1.08</w:t>
            </w:r>
          </w:p>
        </w:tc>
        <w:tc>
          <w:tcPr>
            <w:tcW w:w="135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17285F1" w14:textId="77777777" w:rsidR="00DC1115" w:rsidRPr="001C6DBF" w:rsidRDefault="00000000">
            <w:pPr>
              <w:spacing w:before="40" w:after="40"/>
              <w:ind w:left="-80"/>
              <w:jc w:val="center"/>
              <w:rPr>
                <w:rFonts w:ascii="Times New Roman" w:eastAsia="Times New Roman" w:hAnsi="Times New Roman" w:cs="Times New Roman"/>
                <w:sz w:val="18"/>
                <w:szCs w:val="18"/>
              </w:rPr>
            </w:pPr>
            <w:r w:rsidRPr="001C6DBF">
              <w:rPr>
                <w:rFonts w:ascii="Times New Roman" w:eastAsia="Times New Roman" w:hAnsi="Times New Roman" w:cs="Times New Roman"/>
                <w:sz w:val="18"/>
                <w:szCs w:val="18"/>
              </w:rPr>
              <w:t>0</w:t>
            </w:r>
          </w:p>
        </w:tc>
        <w:tc>
          <w:tcPr>
            <w:tcW w:w="1350" w:type="dxa"/>
            <w:tcBorders>
              <w:top w:val="single" w:sz="4" w:space="0" w:color="000000"/>
              <w:left w:val="single" w:sz="4" w:space="0" w:color="000000"/>
              <w:bottom w:val="single" w:sz="4" w:space="0" w:color="000000"/>
              <w:right w:val="single" w:sz="4" w:space="0" w:color="000000"/>
            </w:tcBorders>
          </w:tcPr>
          <w:p w14:paraId="2189106C" w14:textId="125BF08C" w:rsidR="00DC1115" w:rsidRPr="001C6DBF" w:rsidRDefault="00000000">
            <w:pPr>
              <w:spacing w:before="40" w:after="40"/>
              <w:ind w:left="-80"/>
              <w:jc w:val="center"/>
              <w:rPr>
                <w:rFonts w:ascii="Times New Roman" w:eastAsia="Times New Roman" w:hAnsi="Times New Roman" w:cs="Times New Roman"/>
                <w:sz w:val="18"/>
                <w:szCs w:val="18"/>
              </w:rPr>
            </w:pPr>
            <w:r w:rsidRPr="001C6DBF">
              <w:rPr>
                <w:rFonts w:ascii="Times New Roman" w:eastAsia="Times New Roman" w:hAnsi="Times New Roman" w:cs="Times New Roman"/>
                <w:sz w:val="18"/>
                <w:szCs w:val="18"/>
              </w:rPr>
              <w:t>1.45</w:t>
            </w:r>
          </w:p>
        </w:tc>
        <w:tc>
          <w:tcPr>
            <w:tcW w:w="126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247B69C" w14:textId="77777777" w:rsidR="00DC1115" w:rsidRPr="001C6DBF" w:rsidRDefault="00000000">
            <w:pPr>
              <w:spacing w:before="40" w:after="40"/>
              <w:ind w:left="-80"/>
              <w:jc w:val="center"/>
              <w:rPr>
                <w:rFonts w:ascii="Times New Roman" w:eastAsia="Times New Roman" w:hAnsi="Times New Roman" w:cs="Times New Roman"/>
                <w:sz w:val="18"/>
                <w:szCs w:val="18"/>
              </w:rPr>
            </w:pPr>
            <w:r w:rsidRPr="001C6DBF">
              <w:rPr>
                <w:rFonts w:ascii="Times New Roman" w:eastAsia="Times New Roman" w:hAnsi="Times New Roman" w:cs="Times New Roman"/>
                <w:sz w:val="18"/>
                <w:szCs w:val="18"/>
              </w:rPr>
              <w:t>100</w:t>
            </w:r>
          </w:p>
        </w:tc>
      </w:tr>
      <w:tr w:rsidR="00DC1115" w14:paraId="421B1BAF" w14:textId="77777777">
        <w:trPr>
          <w:trHeight w:val="502"/>
          <w:jc w:val="center"/>
        </w:trPr>
        <w:tc>
          <w:tcPr>
            <w:tcW w:w="188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AE0FA3B" w14:textId="77777777" w:rsidR="00DC1115" w:rsidRPr="001C6DBF" w:rsidRDefault="00000000">
            <w:pPr>
              <w:spacing w:before="40" w:after="40"/>
              <w:ind w:left="-80"/>
              <w:jc w:val="center"/>
              <w:rPr>
                <w:rFonts w:ascii="Times New Roman" w:eastAsia="Times New Roman" w:hAnsi="Times New Roman" w:cs="Times New Roman"/>
                <w:sz w:val="18"/>
                <w:szCs w:val="18"/>
              </w:rPr>
            </w:pPr>
            <w:r w:rsidRPr="001C6DBF">
              <w:rPr>
                <w:rFonts w:ascii="Times New Roman" w:eastAsia="Times New Roman" w:hAnsi="Times New Roman" w:cs="Times New Roman"/>
                <w:sz w:val="18"/>
                <w:szCs w:val="18"/>
              </w:rPr>
              <w:t xml:space="preserve">October 2025 </w:t>
            </w:r>
          </w:p>
          <w:p w14:paraId="23ECB1EB" w14:textId="77777777" w:rsidR="00DC1115" w:rsidRPr="001C6DBF" w:rsidRDefault="00000000">
            <w:pPr>
              <w:spacing w:before="40" w:after="40"/>
              <w:ind w:left="-80"/>
              <w:jc w:val="center"/>
              <w:rPr>
                <w:rFonts w:ascii="Times New Roman" w:eastAsia="Times New Roman" w:hAnsi="Times New Roman" w:cs="Times New Roman"/>
                <w:sz w:val="18"/>
                <w:szCs w:val="18"/>
              </w:rPr>
            </w:pPr>
            <w:r w:rsidRPr="001C6DBF">
              <w:rPr>
                <w:rFonts w:ascii="Times New Roman" w:eastAsia="Times New Roman" w:hAnsi="Times New Roman" w:cs="Times New Roman"/>
                <w:sz w:val="18"/>
                <w:szCs w:val="18"/>
              </w:rPr>
              <w:t>Crypto Crash</w:t>
            </w:r>
          </w:p>
        </w:tc>
        <w:tc>
          <w:tcPr>
            <w:tcW w:w="144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A7245A2" w14:textId="6AF756FE" w:rsidR="00DC1115" w:rsidRPr="001C6DBF" w:rsidRDefault="00000000">
            <w:pPr>
              <w:spacing w:before="40" w:after="40"/>
              <w:ind w:left="-80"/>
              <w:jc w:val="center"/>
              <w:rPr>
                <w:rFonts w:ascii="Times New Roman" w:eastAsia="Times New Roman" w:hAnsi="Times New Roman" w:cs="Times New Roman"/>
                <w:sz w:val="18"/>
                <w:szCs w:val="18"/>
              </w:rPr>
            </w:pPr>
            <w:r w:rsidRPr="001C6DBF">
              <w:rPr>
                <w:rFonts w:ascii="Times New Roman" w:eastAsia="Times New Roman" w:hAnsi="Times New Roman" w:cs="Times New Roman"/>
                <w:sz w:val="18"/>
                <w:szCs w:val="18"/>
              </w:rPr>
              <w:t>139</w:t>
            </w:r>
          </w:p>
        </w:tc>
        <w:tc>
          <w:tcPr>
            <w:tcW w:w="1350" w:type="dxa"/>
            <w:tcBorders>
              <w:top w:val="single" w:sz="4" w:space="0" w:color="000000"/>
              <w:left w:val="single" w:sz="4" w:space="0" w:color="000000"/>
              <w:bottom w:val="single" w:sz="4" w:space="0" w:color="000000"/>
              <w:right w:val="single" w:sz="4" w:space="0" w:color="000000"/>
            </w:tcBorders>
          </w:tcPr>
          <w:p w14:paraId="1CE639B6" w14:textId="77777777" w:rsidR="00DC1115" w:rsidRPr="001C6DBF" w:rsidRDefault="00000000">
            <w:pPr>
              <w:spacing w:before="40" w:after="40"/>
              <w:ind w:left="-80"/>
              <w:jc w:val="center"/>
              <w:rPr>
                <w:rFonts w:ascii="Times New Roman" w:eastAsia="Times New Roman" w:hAnsi="Times New Roman" w:cs="Times New Roman"/>
                <w:sz w:val="18"/>
                <w:szCs w:val="18"/>
              </w:rPr>
            </w:pPr>
            <w:r w:rsidRPr="001C6DBF">
              <w:rPr>
                <w:rFonts w:ascii="Times New Roman" w:eastAsia="Times New Roman" w:hAnsi="Times New Roman" w:cs="Times New Roman"/>
                <w:sz w:val="18"/>
                <w:szCs w:val="18"/>
              </w:rPr>
              <w:t>1.07</w:t>
            </w:r>
          </w:p>
        </w:tc>
        <w:tc>
          <w:tcPr>
            <w:tcW w:w="135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740B722" w14:textId="77777777" w:rsidR="00DC1115" w:rsidRPr="001C6DBF" w:rsidRDefault="00000000">
            <w:pPr>
              <w:spacing w:before="40" w:after="40"/>
              <w:ind w:left="-80"/>
              <w:jc w:val="center"/>
              <w:rPr>
                <w:rFonts w:ascii="Times New Roman" w:eastAsia="Times New Roman" w:hAnsi="Times New Roman" w:cs="Times New Roman"/>
                <w:sz w:val="18"/>
                <w:szCs w:val="18"/>
              </w:rPr>
            </w:pPr>
            <w:r w:rsidRPr="001C6DBF">
              <w:rPr>
                <w:rFonts w:ascii="Times New Roman" w:eastAsia="Times New Roman" w:hAnsi="Times New Roman" w:cs="Times New Roman"/>
                <w:sz w:val="18"/>
                <w:szCs w:val="18"/>
              </w:rPr>
              <w:t>0</w:t>
            </w:r>
          </w:p>
        </w:tc>
        <w:tc>
          <w:tcPr>
            <w:tcW w:w="1350" w:type="dxa"/>
            <w:tcBorders>
              <w:top w:val="single" w:sz="4" w:space="0" w:color="000000"/>
              <w:left w:val="single" w:sz="4" w:space="0" w:color="000000"/>
              <w:bottom w:val="single" w:sz="4" w:space="0" w:color="000000"/>
              <w:right w:val="single" w:sz="4" w:space="0" w:color="000000"/>
            </w:tcBorders>
          </w:tcPr>
          <w:p w14:paraId="18BE8026" w14:textId="3B676911" w:rsidR="00DC1115" w:rsidRPr="001C6DBF" w:rsidRDefault="00000000">
            <w:pPr>
              <w:spacing w:before="40" w:after="40"/>
              <w:ind w:left="-80"/>
              <w:jc w:val="center"/>
              <w:rPr>
                <w:rFonts w:ascii="Times New Roman" w:eastAsia="Times New Roman" w:hAnsi="Times New Roman" w:cs="Times New Roman"/>
                <w:sz w:val="18"/>
                <w:szCs w:val="18"/>
              </w:rPr>
            </w:pPr>
            <w:r w:rsidRPr="001C6DBF">
              <w:rPr>
                <w:rFonts w:ascii="Times New Roman" w:eastAsia="Times New Roman" w:hAnsi="Times New Roman" w:cs="Times New Roman"/>
                <w:sz w:val="18"/>
                <w:szCs w:val="18"/>
              </w:rPr>
              <w:t>1.45</w:t>
            </w:r>
          </w:p>
        </w:tc>
        <w:tc>
          <w:tcPr>
            <w:tcW w:w="126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F4701C0" w14:textId="77777777" w:rsidR="00DC1115" w:rsidRPr="001C6DBF" w:rsidRDefault="00000000">
            <w:pPr>
              <w:spacing w:before="40" w:after="40"/>
              <w:ind w:left="-80"/>
              <w:jc w:val="center"/>
              <w:rPr>
                <w:rFonts w:ascii="Times New Roman" w:eastAsia="Times New Roman" w:hAnsi="Times New Roman" w:cs="Times New Roman"/>
                <w:sz w:val="18"/>
                <w:szCs w:val="18"/>
              </w:rPr>
            </w:pPr>
            <w:r w:rsidRPr="001C6DBF">
              <w:rPr>
                <w:rFonts w:ascii="Times New Roman" w:eastAsia="Times New Roman" w:hAnsi="Times New Roman" w:cs="Times New Roman"/>
                <w:sz w:val="18"/>
                <w:szCs w:val="18"/>
              </w:rPr>
              <w:t>100</w:t>
            </w:r>
          </w:p>
        </w:tc>
      </w:tr>
    </w:tbl>
    <w:p w14:paraId="2501E8DC" w14:textId="77777777" w:rsidR="00DC1115" w:rsidRDefault="00000000">
      <w:pPr>
        <w:shd w:val="clear" w:color="auto" w:fill="FFFFFF"/>
        <w:spacing w:after="160"/>
        <w:rPr>
          <w:rFonts w:ascii="Times New Roman" w:eastAsia="Times New Roman" w:hAnsi="Times New Roman" w:cs="Times New Roman"/>
          <w:sz w:val="24"/>
          <w:szCs w:val="24"/>
          <w:shd w:val="clear" w:color="auto" w:fill="606060"/>
        </w:rPr>
      </w:pPr>
      <w:r>
        <w:rPr>
          <w:rFonts w:ascii="Times New Roman" w:eastAsia="Times New Roman" w:hAnsi="Times New Roman" w:cs="Times New Roman"/>
          <w:sz w:val="24"/>
          <w:szCs w:val="24"/>
          <w:shd w:val="clear" w:color="auto" w:fill="606060"/>
        </w:rPr>
        <w:t xml:space="preserve"> </w:t>
      </w:r>
    </w:p>
    <w:p w14:paraId="554F030F" w14:textId="77777777" w:rsidR="00DC1115" w:rsidRDefault="00000000">
      <w:pPr>
        <w:shd w:val="clear" w:color="auto" w:fill="FFFFFF"/>
        <w:spacing w:after="160"/>
        <w:ind w:firstLine="720"/>
        <w:rPr>
          <w:rFonts w:ascii="Times New Roman" w:eastAsia="Times New Roman" w:hAnsi="Times New Roman" w:cs="Times New Roman"/>
          <w:shd w:val="clear" w:color="auto" w:fill="606060"/>
        </w:rPr>
      </w:pPr>
      <w:r>
        <w:rPr>
          <w:rFonts w:ascii="Times New Roman" w:eastAsia="Times New Roman" w:hAnsi="Times New Roman" w:cs="Times New Roman"/>
        </w:rPr>
        <w:t>During several of the largest crashes in the dataset, the hybrid model was able to avoid liquidations while the fixed-LTV model liquidated hundreds or thousands of positions. Average health factors also remained above 1.2 in the hybrid model, compared with roughly 1.07–1.08 in the DeFi model, suggesting that stress testing and gradual position adjustments are most valuable during periods of extreme market volatility.</w:t>
      </w:r>
      <w:r>
        <w:rPr>
          <w:rFonts w:ascii="Times New Roman" w:eastAsia="Times New Roman" w:hAnsi="Times New Roman" w:cs="Times New Roman"/>
          <w:shd w:val="clear" w:color="auto" w:fill="606060"/>
        </w:rPr>
        <w:t xml:space="preserve"> </w:t>
      </w:r>
    </w:p>
    <w:p w14:paraId="533526B2" w14:textId="77777777" w:rsidR="00DC1115" w:rsidRDefault="00C6398E">
      <w:pPr>
        <w:pStyle w:val="Heading1"/>
        <w:rPr>
          <w:rFonts w:ascii="Times New Roman" w:eastAsia="Times New Roman" w:hAnsi="Times New Roman" w:cs="Times New Roman"/>
          <w:shd w:val="clear" w:color="auto" w:fill="606060"/>
        </w:rPr>
      </w:pPr>
      <w:r>
        <w:rPr>
          <w:rFonts w:ascii="Times New Roman" w:eastAsia="Times New Roman" w:hAnsi="Times New Roman" w:cs="Times New Roman"/>
          <w:b/>
          <w:bCs/>
        </w:rPr>
        <w:t>5. Discussion</w:t>
      </w:r>
      <w:r>
        <w:rPr>
          <w:rFonts w:ascii="Times New Roman" w:eastAsia="Times New Roman" w:hAnsi="Times New Roman" w:cs="Times New Roman"/>
          <w:shd w:val="clear" w:color="auto" w:fill="606060"/>
        </w:rPr>
        <w:t xml:space="preserve"> </w:t>
      </w:r>
    </w:p>
    <w:p w14:paraId="391A691C" w14:textId="0EC0A75B" w:rsidR="00DC1115" w:rsidRDefault="00000000">
      <w:pPr>
        <w:shd w:val="clear" w:color="auto" w:fill="FFFFFF"/>
        <w:spacing w:after="160"/>
        <w:ind w:firstLine="720"/>
        <w:rPr>
          <w:rFonts w:ascii="Times New Roman" w:eastAsia="Times New Roman" w:hAnsi="Times New Roman" w:cs="Times New Roman"/>
          <w:shd w:val="clear" w:color="auto" w:fill="606060"/>
        </w:rPr>
      </w:pPr>
      <w:r>
        <w:rPr>
          <w:rFonts w:ascii="Times New Roman" w:eastAsia="Times New Roman" w:hAnsi="Times New Roman" w:cs="Times New Roman"/>
        </w:rPr>
        <w:t xml:space="preserve">The results suggest that </w:t>
      </w:r>
      <w:r w:rsidRPr="001C6DBF">
        <w:rPr>
          <w:rFonts w:ascii="Times New Roman" w:eastAsia="Times New Roman" w:hAnsi="Times New Roman" w:cs="Times New Roman"/>
        </w:rPr>
        <w:t xml:space="preserve">LTV rules that are not based on current market conditions </w:t>
      </w:r>
      <w:r>
        <w:rPr>
          <w:rFonts w:ascii="Times New Roman" w:eastAsia="Times New Roman" w:hAnsi="Times New Roman" w:cs="Times New Roman"/>
        </w:rPr>
        <w:t>are not well suited for Uniswap v3 liquidity provider positions. Because these positions are affected by impermanent loss, their value can change rapidly during volatile markets. As a result, many positions in the DeFi simulation were liquidated even though they may have remained healthy under a more flexible system.</w:t>
      </w:r>
      <w:r>
        <w:rPr>
          <w:rFonts w:ascii="Times New Roman" w:eastAsia="Times New Roman" w:hAnsi="Times New Roman" w:cs="Times New Roman"/>
          <w:shd w:val="clear" w:color="auto" w:fill="606060"/>
        </w:rPr>
        <w:t xml:space="preserve"> </w:t>
      </w:r>
    </w:p>
    <w:p w14:paraId="453F26F8" w14:textId="2A995872" w:rsidR="00DC1115" w:rsidRDefault="00000000">
      <w:pPr>
        <w:shd w:val="clear" w:color="auto" w:fill="FFFFFF"/>
        <w:spacing w:after="160"/>
        <w:ind w:firstLine="720"/>
        <w:rPr>
          <w:rFonts w:ascii="Times New Roman" w:eastAsia="Times New Roman" w:hAnsi="Times New Roman" w:cs="Times New Roman"/>
          <w:shd w:val="clear" w:color="auto" w:fill="606060"/>
        </w:rPr>
      </w:pPr>
      <w:r>
        <w:rPr>
          <w:rFonts w:ascii="Times New Roman" w:eastAsia="Times New Roman" w:hAnsi="Times New Roman" w:cs="Times New Roman"/>
        </w:rPr>
        <w:t xml:space="preserve">The TradFi-inspired hybrid model performed much better. By stress-testing positions under multiple price scenarios </w:t>
      </w:r>
      <w:r w:rsidRPr="00B86292">
        <w:rPr>
          <w:rFonts w:ascii="Times New Roman" w:eastAsia="Times New Roman" w:hAnsi="Times New Roman" w:cs="Times New Roman"/>
        </w:rPr>
        <w:t>and deriving each position's borrowing limit from that test, it reduced liquidations by 94.09% while maintaining higher average health factors. Instead of relying on a single liquidation threshold, the model re-evaluated each position daily and reduced its borrowing from the 65% starting limit to a lower, stress-derived level - averaging 0.485 across the run rather than applying a single preset cap, helping positions survive periods of market stress.</w:t>
      </w:r>
      <w:r w:rsidRPr="00B86292">
        <w:rPr>
          <w:rFonts w:ascii="Times New Roman" w:eastAsia="Times New Roman" w:hAnsi="Times New Roman" w:cs="Times New Roman"/>
          <w:shd w:val="clear" w:color="auto" w:fill="606060"/>
        </w:rPr>
        <w:t xml:space="preserve"> </w:t>
      </w:r>
    </w:p>
    <w:p w14:paraId="22C6E318" w14:textId="62526A30" w:rsidR="00DC1115" w:rsidRDefault="00000000">
      <w:pPr>
        <w:shd w:val="clear" w:color="auto" w:fill="FFFFFF"/>
        <w:spacing w:after="160"/>
        <w:ind w:firstLine="720"/>
        <w:rPr>
          <w:rFonts w:ascii="Times New Roman" w:eastAsia="Times New Roman" w:hAnsi="Times New Roman" w:cs="Times New Roman"/>
          <w:shd w:val="clear" w:color="auto" w:fill="606060"/>
        </w:rPr>
      </w:pPr>
      <w:r>
        <w:rPr>
          <w:rFonts w:ascii="Times New Roman" w:eastAsia="Times New Roman" w:hAnsi="Times New Roman" w:cs="Times New Roman"/>
        </w:rPr>
        <w:t>These findings support the main idea of this project: liquidation risk for LP positions is not constant, so risk management systems should adapt as market conditions change. There are several limitations to this study. The simulation used daily closing prices and did not capture intraday volatility. It also relied on simplified assumptions and did not include factors such as actual yield farming fees, transaction costs, or future protocol changes. Because the model was tested on historical data, future market conditions may produce different results.</w:t>
      </w:r>
      <w:r>
        <w:rPr>
          <w:rFonts w:ascii="Times New Roman" w:eastAsia="Times New Roman" w:hAnsi="Times New Roman" w:cs="Times New Roman"/>
          <w:shd w:val="clear" w:color="auto" w:fill="606060"/>
        </w:rPr>
        <w:t xml:space="preserve"> </w:t>
      </w:r>
    </w:p>
    <w:p w14:paraId="4302D1E1" w14:textId="77777777" w:rsidR="00DC1115" w:rsidRDefault="00000000">
      <w:pPr>
        <w:shd w:val="clear" w:color="auto" w:fill="FFFFFF"/>
        <w:spacing w:after="160"/>
        <w:ind w:firstLine="720"/>
        <w:rPr>
          <w:rFonts w:ascii="Times New Roman" w:eastAsia="Times New Roman" w:hAnsi="Times New Roman" w:cs="Times New Roman"/>
        </w:rPr>
      </w:pPr>
      <w:r>
        <w:rPr>
          <w:rFonts w:ascii="Times New Roman" w:eastAsia="Times New Roman" w:hAnsi="Times New Roman" w:cs="Times New Roman"/>
        </w:rPr>
        <w:lastRenderedPageBreak/>
        <w:t>Similarly, rather than keeping a fixed set of positions open over the entire period, the simulation created a new set of 500 positions every day. This was done to keep the positions realistically close to historical prices and compare the fixed-LTV and hybrid models under identical daily conditions. This approach probably understates the risk of multi-day crashes, where losses would compound for long-held positions.</w:t>
      </w:r>
      <w:r>
        <w:rPr>
          <w:rFonts w:ascii="Times New Roman" w:eastAsia="Times New Roman" w:hAnsi="Times New Roman" w:cs="Times New Roman"/>
          <w:b/>
          <w:bCs/>
        </w:rPr>
        <w:t xml:space="preserve"> </w:t>
      </w:r>
      <w:r>
        <w:rPr>
          <w:rFonts w:ascii="Times New Roman" w:eastAsia="Times New Roman" w:hAnsi="Times New Roman" w:cs="Times New Roman"/>
        </w:rPr>
        <w:t>A useful extension would be to model positions that persist across multiple days, which would capture the cumulative effect of prolonged crashes more directly.</w:t>
      </w:r>
    </w:p>
    <w:p w14:paraId="5E3A8D7D" w14:textId="77777777" w:rsidR="00DC1115" w:rsidRDefault="00000000">
      <w:pPr>
        <w:shd w:val="clear" w:color="auto" w:fill="FFFFFF"/>
        <w:spacing w:after="160"/>
        <w:ind w:firstLine="720"/>
        <w:rPr>
          <w:rFonts w:ascii="Times New Roman" w:eastAsia="Times New Roman" w:hAnsi="Times New Roman" w:cs="Times New Roman"/>
          <w:sz w:val="24"/>
          <w:szCs w:val="24"/>
          <w:shd w:val="clear" w:color="auto" w:fill="606060"/>
        </w:rPr>
      </w:pPr>
      <w:r>
        <w:rPr>
          <w:rFonts w:ascii="Times New Roman" w:eastAsia="Times New Roman" w:hAnsi="Times New Roman" w:cs="Times New Roman"/>
        </w:rPr>
        <w:t>Despite these limitations, the hybrid model consistently outperformed the fixed-LTV approach across multiple market cycles and major crashes. Future research could incorporate real on-chain data, trading fees, and more advanced risk models. Overall, the results suggest that adopting some risk-management techniques from traditional finance could make DeFi lending systems more efficient and resilient for liquidity providers.</w:t>
      </w:r>
      <w:r>
        <w:rPr>
          <w:rFonts w:ascii="Times New Roman" w:eastAsia="Times New Roman" w:hAnsi="Times New Roman" w:cs="Times New Roman"/>
          <w:sz w:val="24"/>
          <w:szCs w:val="24"/>
          <w:shd w:val="clear" w:color="auto" w:fill="606060"/>
        </w:rPr>
        <w:t xml:space="preserve"> </w:t>
      </w:r>
    </w:p>
    <w:p w14:paraId="0752CBB5" w14:textId="77777777" w:rsidR="00DC1115" w:rsidRDefault="00C6398E">
      <w:pPr>
        <w:pStyle w:val="Heading1"/>
        <w:rPr>
          <w:rFonts w:ascii="Times New Roman" w:eastAsia="Times New Roman" w:hAnsi="Times New Roman" w:cs="Times New Roman"/>
          <w:sz w:val="24"/>
          <w:szCs w:val="24"/>
          <w:shd w:val="clear" w:color="auto" w:fill="606060"/>
        </w:rPr>
      </w:pPr>
      <w:r>
        <w:rPr>
          <w:rFonts w:ascii="Times New Roman" w:eastAsia="Times New Roman" w:hAnsi="Times New Roman" w:cs="Times New Roman"/>
          <w:b/>
          <w:bCs/>
        </w:rPr>
        <w:t>6. Conclusion</w:t>
      </w:r>
      <w:r>
        <w:rPr>
          <w:rFonts w:ascii="Times New Roman" w:eastAsia="Times New Roman" w:hAnsi="Times New Roman" w:cs="Times New Roman"/>
          <w:shd w:val="clear" w:color="auto" w:fill="606060"/>
        </w:rPr>
        <w:t xml:space="preserve"> </w:t>
      </w:r>
    </w:p>
    <w:p w14:paraId="0E5D8353" w14:textId="77777777" w:rsidR="00DC1115" w:rsidRDefault="00000000" w:rsidP="00B86292">
      <w:pPr>
        <w:shd w:val="clear" w:color="auto" w:fill="FFFFFF"/>
        <w:ind w:firstLine="720"/>
        <w:rPr>
          <w:rFonts w:ascii="Times New Roman" w:eastAsia="Times New Roman" w:hAnsi="Times New Roman" w:cs="Times New Roman"/>
          <w:shd w:val="clear" w:color="auto" w:fill="606060"/>
        </w:rPr>
      </w:pPr>
      <w:r>
        <w:rPr>
          <w:rFonts w:ascii="Times New Roman" w:eastAsia="Times New Roman" w:hAnsi="Times New Roman" w:cs="Times New Roman"/>
        </w:rPr>
        <w:t xml:space="preserve">This project examined how Uniswap v3 liquidity provider positions perform when used as collateral in DeFi lending protocols. Using more than 3,800 daily ETH price data points from 2015–2025, we compared a standard fixed LTV model with a TradFi-inspired </w:t>
      </w:r>
      <w:r>
        <w:rPr>
          <w:rFonts w:ascii="Times New Roman" w:eastAsia="Times New Roman" w:hAnsi="Times New Roman" w:cs="Times New Roman"/>
          <w:color w:val="008000"/>
        </w:rPr>
        <w:t>stress-tested</w:t>
      </w:r>
      <w:r>
        <w:rPr>
          <w:rFonts w:ascii="Times New Roman" w:eastAsia="Times New Roman" w:hAnsi="Times New Roman" w:cs="Times New Roman"/>
        </w:rPr>
        <w:t xml:space="preserve"> margining approach.</w:t>
      </w:r>
      <w:r>
        <w:rPr>
          <w:rFonts w:ascii="Times New Roman" w:eastAsia="Times New Roman" w:hAnsi="Times New Roman" w:cs="Times New Roman"/>
          <w:shd w:val="clear" w:color="auto" w:fill="606060"/>
        </w:rPr>
        <w:t xml:space="preserve"> </w:t>
      </w:r>
    </w:p>
    <w:p w14:paraId="3483ACD8" w14:textId="773F758B" w:rsidR="00DC1115" w:rsidRDefault="00000000" w:rsidP="00B86292">
      <w:pPr>
        <w:shd w:val="clear" w:color="auto" w:fill="FFFFFF"/>
        <w:ind w:firstLine="720"/>
        <w:rPr>
          <w:rFonts w:ascii="Times New Roman" w:eastAsia="Times New Roman" w:hAnsi="Times New Roman" w:cs="Times New Roman"/>
          <w:shd w:val="clear" w:color="auto" w:fill="606060"/>
        </w:rPr>
      </w:pPr>
      <w:r>
        <w:rPr>
          <w:rFonts w:ascii="Times New Roman" w:eastAsia="Times New Roman" w:hAnsi="Times New Roman" w:cs="Times New Roman"/>
        </w:rPr>
        <w:t xml:space="preserve">The results showed that fixed LTV rules can lead to excessive liquidations because they do not account for the non-linear effects of impermanent loss. In our simulation, the fixed-LTV model produced </w:t>
      </w:r>
      <w:r w:rsidRPr="001C6DBF">
        <w:rPr>
          <w:rFonts w:ascii="Times New Roman" w:eastAsia="Times New Roman" w:hAnsi="Times New Roman" w:cs="Times New Roman"/>
        </w:rPr>
        <w:t xml:space="preserve">23,731 </w:t>
      </w:r>
      <w:r>
        <w:rPr>
          <w:rFonts w:ascii="Times New Roman" w:eastAsia="Times New Roman" w:hAnsi="Times New Roman" w:cs="Times New Roman"/>
        </w:rPr>
        <w:t xml:space="preserve">liquidations across 500 positions, while the hybrid model reduced that number </w:t>
      </w:r>
      <w:r w:rsidRPr="001C6DBF">
        <w:rPr>
          <w:rFonts w:ascii="Times New Roman" w:eastAsia="Times New Roman" w:hAnsi="Times New Roman" w:cs="Times New Roman"/>
        </w:rPr>
        <w:t>to 1,402</w:t>
      </w:r>
      <w:r>
        <w:rPr>
          <w:rFonts w:ascii="Times New Roman" w:eastAsia="Times New Roman" w:hAnsi="Times New Roman" w:cs="Times New Roman"/>
        </w:rPr>
        <w:t xml:space="preserve">, a reduction of </w:t>
      </w:r>
      <w:r w:rsidRPr="001C6DBF">
        <w:rPr>
          <w:rFonts w:ascii="Times New Roman" w:eastAsia="Times New Roman" w:hAnsi="Times New Roman" w:cs="Times New Roman"/>
        </w:rPr>
        <w:t>94.09</w:t>
      </w:r>
      <w:r>
        <w:rPr>
          <w:rFonts w:ascii="Times New Roman" w:eastAsia="Times New Roman" w:hAnsi="Times New Roman" w:cs="Times New Roman"/>
        </w:rPr>
        <w:t>% [7]. The hybrid approach also maintained higher average health factors and allowed positions to remain active during periods of market volatility.</w:t>
      </w:r>
      <w:r>
        <w:rPr>
          <w:rFonts w:ascii="Times New Roman" w:eastAsia="Times New Roman" w:hAnsi="Times New Roman" w:cs="Times New Roman"/>
          <w:shd w:val="clear" w:color="auto" w:fill="606060"/>
        </w:rPr>
        <w:t xml:space="preserve"> </w:t>
      </w:r>
    </w:p>
    <w:p w14:paraId="3A8A9BF5" w14:textId="416050D0" w:rsidR="00DC1115" w:rsidRDefault="00000000" w:rsidP="00B86292">
      <w:pPr>
        <w:shd w:val="clear" w:color="auto" w:fill="FFFFFF"/>
        <w:ind w:firstLine="720"/>
        <w:rPr>
          <w:rFonts w:ascii="Times New Roman" w:eastAsia="Times New Roman" w:hAnsi="Times New Roman" w:cs="Times New Roman"/>
          <w:shd w:val="clear" w:color="auto" w:fill="606060"/>
        </w:rPr>
      </w:pPr>
      <w:r>
        <w:rPr>
          <w:rFonts w:ascii="Times New Roman" w:eastAsia="Times New Roman" w:hAnsi="Times New Roman" w:cs="Times New Roman"/>
        </w:rPr>
        <w:t>These findings support the idea that risk management systems should account for how LP positions change in value as market conditions change. Rather than relying on a single liquidation threshold, the hybrid model used stress testing and gradual adjustments to reduce risk before positions became unsafe. As a result, fewer positions were liquidated and more were able to continue earning yield farming fees. Although the model has limitations, including the use of daily price data and simplified assumptions, the results suggest tha</w:t>
      </w:r>
      <w:r w:rsidR="001C6DBF">
        <w:rPr>
          <w:rFonts w:ascii="Times New Roman" w:eastAsia="Times New Roman" w:hAnsi="Times New Roman" w:cs="Times New Roman"/>
        </w:rPr>
        <w:t xml:space="preserve">t market-conditions-aware </w:t>
      </w:r>
      <w:r w:rsidRPr="001C6DBF">
        <w:rPr>
          <w:rFonts w:ascii="Times New Roman" w:eastAsia="Times New Roman" w:hAnsi="Times New Roman" w:cs="Times New Roman"/>
        </w:rPr>
        <w:t>conservative margining</w:t>
      </w:r>
      <w:r>
        <w:rPr>
          <w:rFonts w:ascii="Times New Roman" w:eastAsia="Times New Roman" w:hAnsi="Times New Roman" w:cs="Times New Roman"/>
        </w:rPr>
        <w:t xml:space="preserve"> could be a more effective approach for managing complex collateral in DeFi lending protocols. Future research could build on this work by incorporating real on-chain data, trading fees, and more advanced risk models.</w:t>
      </w:r>
      <w:r>
        <w:rPr>
          <w:rFonts w:ascii="Times New Roman" w:eastAsia="Times New Roman" w:hAnsi="Times New Roman" w:cs="Times New Roman"/>
          <w:shd w:val="clear" w:color="auto" w:fill="606060"/>
        </w:rPr>
        <w:t xml:space="preserve"> </w:t>
      </w:r>
    </w:p>
    <w:p w14:paraId="728DD666" w14:textId="515B00C1" w:rsidR="00A53E97" w:rsidRDefault="00000000" w:rsidP="00B86292">
      <w:pPr>
        <w:shd w:val="clear" w:color="auto" w:fill="FFFFFF"/>
        <w:rPr>
          <w:rFonts w:ascii="Times New Roman" w:eastAsia="Times New Roman" w:hAnsi="Times New Roman" w:cs="Times New Roman"/>
        </w:rPr>
      </w:pPr>
      <w:r w:rsidRPr="001C6DBF">
        <w:rPr>
          <w:rFonts w:ascii="Times New Roman" w:eastAsia="Times New Roman" w:hAnsi="Times New Roman" w:cs="Times New Roman"/>
        </w:rPr>
        <w:t xml:space="preserve">A further </w:t>
      </w:r>
      <w:r w:rsidR="001C6DBF" w:rsidRPr="001C6DBF">
        <w:rPr>
          <w:rFonts w:ascii="Times New Roman" w:eastAsia="Times New Roman" w:hAnsi="Times New Roman" w:cs="Times New Roman"/>
        </w:rPr>
        <w:t xml:space="preserve">research </w:t>
      </w:r>
      <w:r w:rsidRPr="001C6DBF">
        <w:rPr>
          <w:rFonts w:ascii="Times New Roman" w:eastAsia="Times New Roman" w:hAnsi="Times New Roman" w:cs="Times New Roman"/>
        </w:rPr>
        <w:t xml:space="preserve">direction, </w:t>
      </w:r>
      <w:r w:rsidR="001C6DBF" w:rsidRPr="001C6DBF">
        <w:rPr>
          <w:rFonts w:ascii="Times New Roman" w:eastAsia="Times New Roman" w:hAnsi="Times New Roman" w:cs="Times New Roman"/>
        </w:rPr>
        <w:t>inspired</w:t>
      </w:r>
      <w:r w:rsidRPr="001C6DBF">
        <w:rPr>
          <w:rFonts w:ascii="Times New Roman" w:eastAsia="Times New Roman" w:hAnsi="Times New Roman" w:cs="Times New Roman"/>
        </w:rPr>
        <w:t xml:space="preserve"> by the near-constant effective LTV reported in Section 4.5, is to make the margin genuinely responsive to market conditions. Designing and validating such mechanism</w:t>
      </w:r>
      <w:r w:rsidR="001C6DBF" w:rsidRPr="001C6DBF">
        <w:rPr>
          <w:rFonts w:ascii="Times New Roman" w:eastAsia="Times New Roman" w:hAnsi="Times New Roman" w:cs="Times New Roman"/>
        </w:rPr>
        <w:t>s</w:t>
      </w:r>
      <w:r w:rsidRPr="001C6DBF">
        <w:rPr>
          <w:rFonts w:ascii="Times New Roman" w:eastAsia="Times New Roman" w:hAnsi="Times New Roman" w:cs="Times New Roman"/>
        </w:rPr>
        <w:t xml:space="preserve"> is left to future work</w:t>
      </w:r>
      <w:r>
        <w:rPr>
          <w:rFonts w:ascii="Times New Roman" w:eastAsia="Times New Roman" w:hAnsi="Times New Roman" w:cs="Times New Roman"/>
          <w:color w:val="008000"/>
        </w:rPr>
        <w:t>.</w:t>
      </w:r>
    </w:p>
    <w:p w14:paraId="46670370" w14:textId="77777777" w:rsidR="00DC1115" w:rsidRDefault="00000000" w:rsidP="00B86292">
      <w:pPr>
        <w:shd w:val="clear" w:color="auto" w:fill="FFFFFF"/>
        <w:ind w:firstLine="720"/>
        <w:rPr>
          <w:rFonts w:ascii="Times New Roman" w:eastAsia="Times New Roman" w:hAnsi="Times New Roman" w:cs="Times New Roman"/>
          <w:sz w:val="24"/>
          <w:szCs w:val="24"/>
          <w:shd w:val="clear" w:color="auto" w:fill="606060"/>
        </w:rPr>
      </w:pPr>
      <w:r>
        <w:rPr>
          <w:rFonts w:ascii="Times New Roman" w:eastAsia="Times New Roman" w:hAnsi="Times New Roman" w:cs="Times New Roman"/>
        </w:rPr>
        <w:t>Overall, this study demonstrates that borrowing ideas from traditional finance may help create more efficient and resilient DeFi lending systems, especially for liquidity providers using concentrated liquidity positions.</w:t>
      </w:r>
      <w:r>
        <w:rPr>
          <w:rFonts w:ascii="Times New Roman" w:eastAsia="Times New Roman" w:hAnsi="Times New Roman" w:cs="Times New Roman"/>
          <w:sz w:val="24"/>
          <w:szCs w:val="24"/>
          <w:shd w:val="clear" w:color="auto" w:fill="606060"/>
        </w:rPr>
        <w:t xml:space="preserve"> </w:t>
      </w:r>
    </w:p>
    <w:p w14:paraId="78FBA73E" w14:textId="77777777" w:rsidR="00DC1115" w:rsidRDefault="00000000">
      <w:pPr>
        <w:rPr>
          <w:rFonts w:ascii="Times New Roman" w:eastAsia="Times New Roman" w:hAnsi="Times New Roman" w:cs="Times New Roman"/>
          <w:sz w:val="40"/>
          <w:szCs w:val="40"/>
        </w:rPr>
      </w:pPr>
      <w:r>
        <w:br w:type="page"/>
      </w:r>
    </w:p>
    <w:p w14:paraId="694BE145" w14:textId="77777777" w:rsidR="00DC1115" w:rsidRDefault="00000000">
      <w:pPr>
        <w:spacing w:after="160"/>
        <w:jc w:val="both"/>
        <w:rPr>
          <w:rFonts w:ascii="Times New Roman" w:eastAsia="Times New Roman" w:hAnsi="Times New Roman" w:cs="Times New Roman"/>
        </w:rPr>
      </w:pPr>
      <w:r>
        <w:rPr>
          <w:rFonts w:ascii="Times New Roman" w:eastAsia="Times New Roman" w:hAnsi="Times New Roman" w:cs="Times New Roman"/>
          <w:b/>
          <w:bCs/>
        </w:rPr>
        <w:lastRenderedPageBreak/>
        <w:t>Acknowledgments.</w:t>
      </w:r>
      <w:r>
        <w:rPr>
          <w:rFonts w:ascii="Times New Roman" w:eastAsia="Times New Roman" w:hAnsi="Times New Roman" w:cs="Times New Roman"/>
        </w:rPr>
        <w:t xml:space="preserve"> The author used a generative AI assistant (Anthropic’s Claude) for language editing, literature and reference searching, and general guidance on the publication process. All research design, code design and structure, data analysis, and conclusions are the author’s own. The author reviewed and verified all outputs, including the accuracy of all references, and is solely responsible for the content.</w:t>
      </w:r>
    </w:p>
    <w:p w14:paraId="1F0DF5B3" w14:textId="77777777" w:rsidR="00DC1115" w:rsidRDefault="00000000">
      <w:pPr>
        <w:pStyle w:val="Heading1"/>
        <w:rPr>
          <w:rFonts w:ascii="Times New Roman" w:eastAsia="Times New Roman" w:hAnsi="Times New Roman" w:cs="Times New Roman"/>
          <w:b/>
          <w:bCs/>
          <w:shd w:val="clear" w:color="auto" w:fill="606060"/>
        </w:rPr>
      </w:pPr>
      <w:r>
        <w:rPr>
          <w:rFonts w:ascii="Times New Roman" w:eastAsia="Times New Roman" w:hAnsi="Times New Roman" w:cs="Times New Roman"/>
          <w:b/>
          <w:bCs/>
        </w:rPr>
        <w:t>References</w:t>
      </w:r>
    </w:p>
    <w:p w14:paraId="7597A180" w14:textId="77777777" w:rsidR="00DC1115" w:rsidRDefault="00000000">
      <w:pPr>
        <w:shd w:val="clear" w:color="auto" w:fill="FFFFFF"/>
        <w:spacing w:after="240"/>
        <w:rPr>
          <w:rFonts w:ascii="Times New Roman" w:eastAsia="Times New Roman" w:hAnsi="Times New Roman" w:cs="Times New Roman"/>
          <w:sz w:val="20"/>
          <w:szCs w:val="20"/>
          <w:shd w:val="clear" w:color="auto" w:fill="606060"/>
        </w:rPr>
      </w:pPr>
      <w:r>
        <w:rPr>
          <w:rFonts w:ascii="Times New Roman" w:eastAsia="Times New Roman" w:hAnsi="Times New Roman" w:cs="Times New Roman"/>
          <w:sz w:val="20"/>
          <w:szCs w:val="20"/>
        </w:rPr>
        <w:t xml:space="preserve">1. Wikipedia, "Bankruptcy of FTX", </w:t>
      </w:r>
      <w:hyperlink r:id="rId13">
        <w:r w:rsidR="00DC1115">
          <w:rPr>
            <w:rFonts w:ascii="Times New Roman" w:eastAsia="Times New Roman" w:hAnsi="Times New Roman" w:cs="Times New Roman"/>
            <w:sz w:val="20"/>
            <w:szCs w:val="20"/>
            <w:u w:val="single"/>
          </w:rPr>
          <w:t>https://en.wikipedia.org/wiki/Bankruptcy_of_FTX</w:t>
        </w:r>
      </w:hyperlink>
      <w:r>
        <w:rPr>
          <w:rFonts w:ascii="Times New Roman" w:eastAsia="Times New Roman" w:hAnsi="Times New Roman" w:cs="Times New Roman"/>
          <w:sz w:val="20"/>
          <w:szCs w:val="20"/>
          <w:shd w:val="clear" w:color="auto" w:fill="606060"/>
        </w:rPr>
        <w:t xml:space="preserve"> </w:t>
      </w:r>
    </w:p>
    <w:p w14:paraId="551BA4A8" w14:textId="77777777" w:rsidR="00DC1115" w:rsidRDefault="00000000">
      <w:pPr>
        <w:shd w:val="clear" w:color="auto" w:fill="FFFFFF"/>
        <w:spacing w:after="240"/>
        <w:rPr>
          <w:rFonts w:ascii="Times New Roman" w:eastAsia="Times New Roman" w:hAnsi="Times New Roman" w:cs="Times New Roman"/>
          <w:sz w:val="20"/>
          <w:szCs w:val="20"/>
          <w:shd w:val="clear" w:color="auto" w:fill="606060"/>
        </w:rPr>
      </w:pPr>
      <w:r>
        <w:rPr>
          <w:rFonts w:ascii="Times New Roman" w:eastAsia="Times New Roman" w:hAnsi="Times New Roman" w:cs="Times New Roman"/>
          <w:sz w:val="20"/>
          <w:szCs w:val="20"/>
        </w:rPr>
        <w:t xml:space="preserve">2. Investopedia, "FTX Crypto Exchange Collapse: Causes, Consequences, and Lessons", </w:t>
      </w:r>
      <w:hyperlink r:id="rId14">
        <w:r w:rsidR="00DC1115">
          <w:rPr>
            <w:rFonts w:ascii="Times New Roman" w:eastAsia="Times New Roman" w:hAnsi="Times New Roman" w:cs="Times New Roman"/>
            <w:sz w:val="20"/>
            <w:szCs w:val="20"/>
            <w:u w:val="single"/>
          </w:rPr>
          <w:t>https://www.investopedia.com/what-went-wrong-with-ftx-6828447</w:t>
        </w:r>
      </w:hyperlink>
      <w:r>
        <w:rPr>
          <w:rFonts w:ascii="Times New Roman" w:eastAsia="Times New Roman" w:hAnsi="Times New Roman" w:cs="Times New Roman"/>
          <w:sz w:val="20"/>
          <w:szCs w:val="20"/>
          <w:shd w:val="clear" w:color="auto" w:fill="606060"/>
        </w:rPr>
        <w:t xml:space="preserve"> </w:t>
      </w:r>
    </w:p>
    <w:p w14:paraId="2088B64C" w14:textId="77777777" w:rsidR="00DC1115" w:rsidRDefault="00000000">
      <w:pPr>
        <w:shd w:val="clear" w:color="auto" w:fill="FFFFFF"/>
        <w:spacing w:after="240"/>
        <w:rPr>
          <w:rFonts w:ascii="Times New Roman" w:eastAsia="Times New Roman" w:hAnsi="Times New Roman" w:cs="Times New Roman"/>
          <w:sz w:val="20"/>
          <w:szCs w:val="20"/>
          <w:shd w:val="clear" w:color="auto" w:fill="606060"/>
        </w:rPr>
      </w:pPr>
      <w:r>
        <w:rPr>
          <w:rFonts w:ascii="Times New Roman" w:eastAsia="Times New Roman" w:hAnsi="Times New Roman" w:cs="Times New Roman"/>
          <w:sz w:val="20"/>
          <w:szCs w:val="20"/>
        </w:rPr>
        <w:t xml:space="preserve">3. FTI Consulting, "Crypto Crash Oct 2025: Leverage Meets Liquidity", </w:t>
      </w:r>
      <w:hyperlink r:id="rId15">
        <w:r w:rsidR="00DC1115">
          <w:rPr>
            <w:rFonts w:ascii="Times New Roman" w:eastAsia="Times New Roman" w:hAnsi="Times New Roman" w:cs="Times New Roman"/>
            <w:sz w:val="20"/>
            <w:szCs w:val="20"/>
            <w:u w:val="single"/>
          </w:rPr>
          <w:t>https://www.fticonsulting.com/insights/articles/crypto-crash-october-2025-leverage-met-liquidity</w:t>
        </w:r>
      </w:hyperlink>
      <w:r>
        <w:rPr>
          <w:rFonts w:ascii="Times New Roman" w:eastAsia="Times New Roman" w:hAnsi="Times New Roman" w:cs="Times New Roman"/>
          <w:sz w:val="20"/>
          <w:szCs w:val="20"/>
          <w:shd w:val="clear" w:color="auto" w:fill="606060"/>
        </w:rPr>
        <w:t xml:space="preserve"> </w:t>
      </w:r>
    </w:p>
    <w:p w14:paraId="37C63F5A" w14:textId="77777777" w:rsidR="00DC1115" w:rsidRDefault="00000000">
      <w:pPr>
        <w:shd w:val="clear" w:color="auto" w:fill="FFFFFF"/>
        <w:spacing w:after="240"/>
        <w:rPr>
          <w:rFonts w:ascii="Times New Roman" w:eastAsia="Times New Roman" w:hAnsi="Times New Roman" w:cs="Times New Roman"/>
          <w:sz w:val="20"/>
          <w:szCs w:val="20"/>
          <w:shd w:val="clear" w:color="auto" w:fill="606060"/>
        </w:rPr>
      </w:pPr>
      <w:r>
        <w:rPr>
          <w:rFonts w:ascii="Times New Roman" w:eastAsia="Times New Roman" w:hAnsi="Times New Roman" w:cs="Times New Roman"/>
          <w:sz w:val="20"/>
          <w:szCs w:val="20"/>
        </w:rPr>
        <w:t xml:space="preserve">4. CoinDesk, "'Largest Ever' Crypto Liquidation Event Wipes Out 6,300 Wallets on Hyperliquid", </w:t>
      </w:r>
      <w:hyperlink r:id="rId16">
        <w:r w:rsidR="00DC1115">
          <w:rPr>
            <w:rFonts w:ascii="Times New Roman" w:eastAsia="Times New Roman" w:hAnsi="Times New Roman" w:cs="Times New Roman"/>
            <w:sz w:val="20"/>
            <w:szCs w:val="20"/>
            <w:u w:val="single"/>
          </w:rPr>
          <w:t>https://www.coindesk.com/markets/2025/10/11/largest-ever-crypto-liquidation-event-wipes-out-6300-wallets-on-hyperliquid</w:t>
        </w:r>
      </w:hyperlink>
      <w:r>
        <w:rPr>
          <w:rFonts w:ascii="Times New Roman" w:eastAsia="Times New Roman" w:hAnsi="Times New Roman" w:cs="Times New Roman"/>
          <w:sz w:val="20"/>
          <w:szCs w:val="20"/>
          <w:shd w:val="clear" w:color="auto" w:fill="606060"/>
        </w:rPr>
        <w:t xml:space="preserve"> </w:t>
      </w:r>
    </w:p>
    <w:p w14:paraId="4B792CF2" w14:textId="77777777" w:rsidR="00DC1115" w:rsidRDefault="00000000">
      <w:pPr>
        <w:shd w:val="clear" w:color="auto" w:fill="FFFFFF"/>
        <w:spacing w:after="240"/>
        <w:rPr>
          <w:rFonts w:ascii="Times New Roman" w:eastAsia="Times New Roman" w:hAnsi="Times New Roman" w:cs="Times New Roman"/>
          <w:sz w:val="20"/>
          <w:szCs w:val="20"/>
          <w:shd w:val="clear" w:color="auto" w:fill="606060"/>
        </w:rPr>
      </w:pPr>
      <w:r>
        <w:rPr>
          <w:rFonts w:ascii="Times New Roman" w:eastAsia="Times New Roman" w:hAnsi="Times New Roman" w:cs="Times New Roman"/>
          <w:sz w:val="20"/>
          <w:szCs w:val="20"/>
        </w:rPr>
        <w:t xml:space="preserve">5. Aurpay, "Crypto Crash October 2025: $19B Liquidation Explained" </w:t>
      </w:r>
      <w:hyperlink r:id="rId17">
        <w:r w:rsidR="00DC1115">
          <w:rPr>
            <w:rFonts w:ascii="Times New Roman" w:eastAsia="Times New Roman" w:hAnsi="Times New Roman" w:cs="Times New Roman"/>
            <w:color w:val="0000FF"/>
            <w:sz w:val="20"/>
            <w:szCs w:val="20"/>
            <w:u w:val="single"/>
          </w:rPr>
          <w:t>https://aurpay.net/aurspace/crypto-crash-october-2025-bitcoin-liquidation-explained</w:t>
        </w:r>
      </w:hyperlink>
      <w:r>
        <w:rPr>
          <w:rFonts w:ascii="Times New Roman" w:eastAsia="Times New Roman" w:hAnsi="Times New Roman" w:cs="Times New Roman"/>
          <w:sz w:val="20"/>
          <w:szCs w:val="20"/>
          <w:shd w:val="clear" w:color="auto" w:fill="606060"/>
        </w:rPr>
        <w:t xml:space="preserve"> </w:t>
      </w:r>
    </w:p>
    <w:p w14:paraId="02BE242C" w14:textId="77777777" w:rsidR="00DC1115" w:rsidRDefault="00000000">
      <w:pPr>
        <w:shd w:val="clear" w:color="auto" w:fill="FFFFFF"/>
        <w:spacing w:after="240"/>
        <w:rPr>
          <w:rFonts w:ascii="Times New Roman" w:eastAsia="Times New Roman" w:hAnsi="Times New Roman" w:cs="Times New Roman"/>
          <w:sz w:val="20"/>
          <w:szCs w:val="20"/>
          <w:shd w:val="clear" w:color="auto" w:fill="606060"/>
        </w:rPr>
      </w:pPr>
      <w:r>
        <w:rPr>
          <w:rFonts w:ascii="Times New Roman" w:eastAsia="Times New Roman" w:hAnsi="Times New Roman" w:cs="Times New Roman"/>
          <w:sz w:val="20"/>
          <w:szCs w:val="20"/>
        </w:rPr>
        <w:t xml:space="preserve">6. Insights4.vc, "Inside the $19B Flash Crash", </w:t>
      </w:r>
      <w:hyperlink r:id="rId18">
        <w:r w:rsidR="00DC1115">
          <w:rPr>
            <w:rFonts w:ascii="Times New Roman" w:eastAsia="Times New Roman" w:hAnsi="Times New Roman" w:cs="Times New Roman"/>
            <w:sz w:val="20"/>
            <w:szCs w:val="20"/>
            <w:u w:val="single"/>
          </w:rPr>
          <w:t>https://insights4vc.substack.com/p/inside-the-19b-flash-crash</w:t>
        </w:r>
      </w:hyperlink>
      <w:r>
        <w:rPr>
          <w:rFonts w:ascii="Times New Roman" w:eastAsia="Times New Roman" w:hAnsi="Times New Roman" w:cs="Times New Roman"/>
          <w:sz w:val="20"/>
          <w:szCs w:val="20"/>
          <w:shd w:val="clear" w:color="auto" w:fill="606060"/>
        </w:rPr>
        <w:t xml:space="preserve"> </w:t>
      </w:r>
    </w:p>
    <w:p w14:paraId="537E60CF" w14:textId="7A25626C" w:rsidR="00DC1115" w:rsidRDefault="00000000">
      <w:pPr>
        <w:shd w:val="clear" w:color="auto" w:fill="FFFFFF"/>
        <w:spacing w:after="240"/>
        <w:rPr>
          <w:rFonts w:ascii="Times New Roman" w:eastAsia="Times New Roman" w:hAnsi="Times New Roman" w:cs="Times New Roman"/>
          <w:sz w:val="20"/>
          <w:szCs w:val="20"/>
          <w:shd w:val="clear" w:color="auto" w:fill="606060"/>
        </w:rPr>
      </w:pPr>
      <w:r>
        <w:rPr>
          <w:rFonts w:ascii="Times New Roman" w:eastAsia="Times New Roman" w:hAnsi="Times New Roman" w:cs="Times New Roman"/>
          <w:sz w:val="20"/>
          <w:szCs w:val="20"/>
        </w:rPr>
        <w:t xml:space="preserve">7. Internal prototype simulation (hybrid_simulator.py and summary.txt output: </w:t>
      </w:r>
      <w:r w:rsidRPr="001C6DBF">
        <w:rPr>
          <w:rFonts w:ascii="Times New Roman" w:eastAsia="Times New Roman" w:hAnsi="Times New Roman" w:cs="Times New Roman"/>
          <w:sz w:val="20"/>
          <w:szCs w:val="20"/>
        </w:rPr>
        <w:t>94.09</w:t>
      </w:r>
      <w:r>
        <w:rPr>
          <w:rFonts w:ascii="Times New Roman" w:eastAsia="Times New Roman" w:hAnsi="Times New Roman" w:cs="Times New Roman"/>
          <w:sz w:val="20"/>
          <w:szCs w:val="20"/>
        </w:rPr>
        <w:t xml:space="preserve">% liquidation reduction, </w:t>
      </w:r>
      <w:r w:rsidRPr="001C6DBF">
        <w:rPr>
          <w:rFonts w:ascii="Times New Roman" w:eastAsia="Times New Roman" w:hAnsi="Times New Roman" w:cs="Times New Roman"/>
          <w:sz w:val="20"/>
          <w:szCs w:val="20"/>
        </w:rPr>
        <w:t>104</w:t>
      </w:r>
      <w:r>
        <w:rPr>
          <w:rFonts w:ascii="Times New Roman" w:eastAsia="Times New Roman" w:hAnsi="Times New Roman" w:cs="Times New Roman"/>
          <w:sz w:val="20"/>
          <w:szCs w:val="20"/>
        </w:rPr>
        <w:t xml:space="preserve"> DeFi liquidation days vs. 3 TradFi), Github, https://github.com/markurusov1/defischolar_margin_risk</w:t>
      </w:r>
      <w:r w:rsidR="00B83D2B">
        <w:rPr>
          <w:rFonts w:ascii="Times New Roman" w:eastAsia="Times New Roman" w:hAnsi="Times New Roman" w:cs="Times New Roman"/>
          <w:sz w:val="20"/>
          <w:szCs w:val="20"/>
        </w:rPr>
        <w:t>/tree/v2</w:t>
      </w:r>
      <w:r>
        <w:rPr>
          <w:rFonts w:ascii="Times New Roman" w:eastAsia="Times New Roman" w:hAnsi="Times New Roman" w:cs="Times New Roman"/>
          <w:sz w:val="20"/>
          <w:szCs w:val="20"/>
        </w:rPr>
        <w:t>.</w:t>
      </w:r>
      <w:r>
        <w:rPr>
          <w:rFonts w:ascii="Times New Roman" w:eastAsia="Times New Roman" w:hAnsi="Times New Roman" w:cs="Times New Roman"/>
          <w:sz w:val="20"/>
          <w:szCs w:val="20"/>
          <w:shd w:val="clear" w:color="auto" w:fill="606060"/>
        </w:rPr>
        <w:t xml:space="preserve"> </w:t>
      </w:r>
    </w:p>
    <w:p w14:paraId="3254C137" w14:textId="77777777" w:rsidR="00DC1115" w:rsidRDefault="00000000">
      <w:pPr>
        <w:shd w:val="clear" w:color="auto" w:fill="FFFFFF"/>
        <w:spacing w:after="240"/>
        <w:rPr>
          <w:rFonts w:ascii="Times New Roman" w:eastAsia="Times New Roman" w:hAnsi="Times New Roman" w:cs="Times New Roman"/>
          <w:sz w:val="20"/>
          <w:szCs w:val="20"/>
          <w:shd w:val="clear" w:color="auto" w:fill="606060"/>
        </w:rPr>
      </w:pPr>
      <w:r>
        <w:rPr>
          <w:rFonts w:ascii="Times New Roman" w:eastAsia="Times New Roman" w:hAnsi="Times New Roman" w:cs="Times New Roman"/>
          <w:sz w:val="20"/>
          <w:szCs w:val="20"/>
        </w:rPr>
        <w:t xml:space="preserve">8. Aave Documentation, "Risk Parameters – LTV, Liquidation Thresholds, and Penalties," accessed January 19, 2026, </w:t>
      </w:r>
      <w:hyperlink r:id="rId19">
        <w:r w:rsidR="00DC1115">
          <w:rPr>
            <w:rFonts w:ascii="Times New Roman" w:eastAsia="Times New Roman" w:hAnsi="Times New Roman" w:cs="Times New Roman"/>
            <w:sz w:val="20"/>
            <w:szCs w:val="20"/>
            <w:u w:val="single"/>
          </w:rPr>
          <w:t>https://docs.aave.com/risk/</w:t>
        </w:r>
      </w:hyperlink>
      <w:r>
        <w:rPr>
          <w:rFonts w:ascii="Times New Roman" w:eastAsia="Times New Roman" w:hAnsi="Times New Roman" w:cs="Times New Roman"/>
          <w:sz w:val="20"/>
          <w:szCs w:val="20"/>
          <w:shd w:val="clear" w:color="auto" w:fill="606060"/>
        </w:rPr>
        <w:t xml:space="preserve"> </w:t>
      </w:r>
    </w:p>
    <w:p w14:paraId="7885278E" w14:textId="77777777" w:rsidR="00DC1115" w:rsidRDefault="00000000">
      <w:pPr>
        <w:shd w:val="clear" w:color="auto" w:fill="FFFFFF"/>
        <w:spacing w:after="240"/>
        <w:rPr>
          <w:rFonts w:ascii="Times New Roman" w:eastAsia="Times New Roman" w:hAnsi="Times New Roman" w:cs="Times New Roman"/>
          <w:sz w:val="20"/>
          <w:szCs w:val="20"/>
          <w:shd w:val="clear" w:color="auto" w:fill="606060"/>
        </w:rPr>
      </w:pPr>
      <w:r>
        <w:rPr>
          <w:rFonts w:ascii="Times New Roman" w:eastAsia="Times New Roman" w:hAnsi="Times New Roman" w:cs="Times New Roman"/>
          <w:sz w:val="20"/>
          <w:szCs w:val="20"/>
        </w:rPr>
        <w:t xml:space="preserve">9. DefiLlama, "Uniswap Protocol TVL and Fees,", </w:t>
      </w:r>
      <w:hyperlink r:id="rId20">
        <w:r w:rsidR="00DC1115">
          <w:rPr>
            <w:rFonts w:ascii="Times New Roman" w:eastAsia="Times New Roman" w:hAnsi="Times New Roman" w:cs="Times New Roman"/>
            <w:sz w:val="20"/>
            <w:szCs w:val="20"/>
            <w:u w:val="single"/>
          </w:rPr>
          <w:t>https://defillama.com/protocol/uniswap</w:t>
        </w:r>
      </w:hyperlink>
      <w:r>
        <w:rPr>
          <w:rFonts w:ascii="Times New Roman" w:eastAsia="Times New Roman" w:hAnsi="Times New Roman" w:cs="Times New Roman"/>
          <w:sz w:val="20"/>
          <w:szCs w:val="20"/>
          <w:shd w:val="clear" w:color="auto" w:fill="606060"/>
        </w:rPr>
        <w:t xml:space="preserve"> </w:t>
      </w:r>
    </w:p>
    <w:p w14:paraId="274B64DA" w14:textId="77777777" w:rsidR="00DC1115" w:rsidRDefault="00000000">
      <w:pPr>
        <w:shd w:val="clear" w:color="auto" w:fill="FFFFFF"/>
        <w:spacing w:after="240"/>
        <w:rPr>
          <w:rFonts w:ascii="Times New Roman" w:eastAsia="Times New Roman" w:hAnsi="Times New Roman" w:cs="Times New Roman"/>
          <w:sz w:val="20"/>
          <w:szCs w:val="20"/>
          <w:shd w:val="clear" w:color="auto" w:fill="606060"/>
        </w:rPr>
      </w:pPr>
      <w:r>
        <w:rPr>
          <w:rFonts w:ascii="Times New Roman" w:eastAsia="Times New Roman" w:hAnsi="Times New Roman" w:cs="Times New Roman"/>
          <w:sz w:val="20"/>
          <w:szCs w:val="20"/>
        </w:rPr>
        <w:t xml:space="preserve">10. Adams, H., Zinsmeister, N., Salem, M., Keefer, R., &amp; Robinson, D. (2021). Uniswap v3 Core. Uniswap Labs. Retrieved from </w:t>
      </w:r>
      <w:hyperlink r:id="rId21">
        <w:r w:rsidR="00DC1115">
          <w:rPr>
            <w:rFonts w:ascii="Times New Roman" w:eastAsia="Times New Roman" w:hAnsi="Times New Roman" w:cs="Times New Roman"/>
            <w:sz w:val="20"/>
            <w:szCs w:val="20"/>
            <w:u w:val="single"/>
          </w:rPr>
          <w:t>https://app.uniswap.org/whitepaper-v3.pdf</w:t>
        </w:r>
      </w:hyperlink>
      <w:r>
        <w:rPr>
          <w:rFonts w:ascii="Times New Roman" w:eastAsia="Times New Roman" w:hAnsi="Times New Roman" w:cs="Times New Roman"/>
          <w:sz w:val="20"/>
          <w:szCs w:val="20"/>
          <w:shd w:val="clear" w:color="auto" w:fill="606060"/>
        </w:rPr>
        <w:t xml:space="preserve"> </w:t>
      </w:r>
    </w:p>
    <w:p w14:paraId="1268D930" w14:textId="77777777" w:rsidR="00DC1115" w:rsidRDefault="00000000">
      <w:pPr>
        <w:shd w:val="clear" w:color="auto" w:fill="FFFFFF"/>
        <w:spacing w:after="240"/>
        <w:rPr>
          <w:rFonts w:ascii="Times New Roman" w:eastAsia="Times New Roman" w:hAnsi="Times New Roman" w:cs="Times New Roman"/>
          <w:sz w:val="20"/>
          <w:szCs w:val="20"/>
          <w:shd w:val="clear" w:color="auto" w:fill="606060"/>
        </w:rPr>
      </w:pPr>
      <w:r>
        <w:rPr>
          <w:rFonts w:ascii="Times New Roman" w:eastAsia="Times New Roman" w:hAnsi="Times New Roman" w:cs="Times New Roman"/>
          <w:sz w:val="20"/>
          <w:szCs w:val="20"/>
        </w:rPr>
        <w:t xml:space="preserve">11. Aave Governance Forum &amp; Risk Reports (e.g., Chaos Labs / Gauntlet analyses), "Liquidation Mechanics and Penalty Structure," 2022–2025. Retrieved from </w:t>
      </w:r>
      <w:hyperlink r:id="rId22">
        <w:r w:rsidR="00DC1115">
          <w:rPr>
            <w:rFonts w:ascii="Times New Roman" w:eastAsia="Times New Roman" w:hAnsi="Times New Roman" w:cs="Times New Roman"/>
            <w:sz w:val="20"/>
            <w:szCs w:val="20"/>
            <w:u w:val="single"/>
          </w:rPr>
          <w:t>https://governance.aave.com/</w:t>
        </w:r>
      </w:hyperlink>
      <w:r>
        <w:rPr>
          <w:rFonts w:ascii="Times New Roman" w:eastAsia="Times New Roman" w:hAnsi="Times New Roman" w:cs="Times New Roman"/>
          <w:sz w:val="20"/>
          <w:szCs w:val="20"/>
          <w:shd w:val="clear" w:color="auto" w:fill="606060"/>
        </w:rPr>
        <w:t xml:space="preserve"> </w:t>
      </w:r>
    </w:p>
    <w:p w14:paraId="5B60BFAE" w14:textId="08031256" w:rsidR="00DC1115" w:rsidRDefault="00000000">
      <w:pPr>
        <w:shd w:val="clear" w:color="auto" w:fill="FFFFFF"/>
        <w:spacing w:after="240"/>
        <w:rPr>
          <w:rFonts w:ascii="Times New Roman" w:eastAsia="Times New Roman" w:hAnsi="Times New Roman" w:cs="Times New Roman"/>
          <w:sz w:val="20"/>
          <w:szCs w:val="20"/>
          <w:shd w:val="clear" w:color="auto" w:fill="606060"/>
        </w:rPr>
      </w:pPr>
      <w:r>
        <w:rPr>
          <w:rFonts w:ascii="Times New Roman" w:eastAsia="Times New Roman" w:hAnsi="Times New Roman" w:cs="Times New Roman"/>
          <w:sz w:val="20"/>
          <w:szCs w:val="20"/>
        </w:rPr>
        <w:t xml:space="preserve">12. U.S. Securities and Exchange Commission, "Order Approving a Proposed Rule Change to Expand the Products Eligible for Customer Portfolio Margining" (SR-NYSE-2005-93), Exchange Act Release No. 34-54125 (July 11, 2006), 71 Fed. Reg. 40766; and "Order Approving a Proposed Rule Change Relating to Customer Portfolio Margining" (SR-NYSE-2006-13), Exchange Act Release No. 34-54918 (Dec. 12, 2006), 71 Fed. Reg. 75790. </w:t>
      </w:r>
      <w:hyperlink r:id="rId23" w:history="1">
        <w:r w:rsidR="00B311C1" w:rsidRPr="00D84E94">
          <w:rPr>
            <w:rStyle w:val="Hyperlink"/>
            <w:rFonts w:ascii="Times New Roman" w:eastAsia="Times New Roman" w:hAnsi="Times New Roman" w:cs="Times New Roman"/>
            <w:sz w:val="20"/>
            <w:szCs w:val="20"/>
          </w:rPr>
          <w:t>https://www.sec.gov/files/rules/sro/nyse/2006/34-54918.pdf</w:t>
        </w:r>
      </w:hyperlink>
      <w:r w:rsidR="00B311C1">
        <w:rPr>
          <w:rFonts w:ascii="Times New Roman" w:eastAsia="Times New Roman" w:hAnsi="Times New Roman" w:cs="Times New Roman"/>
          <w:sz w:val="20"/>
          <w:szCs w:val="20"/>
        </w:rPr>
        <w:t xml:space="preserve"> </w:t>
      </w:r>
    </w:p>
    <w:p w14:paraId="29A66DB9" w14:textId="6F042795" w:rsidR="00DC1115" w:rsidRDefault="00000000">
      <w:pPr>
        <w:shd w:val="clear" w:color="auto" w:fill="FFFFFF"/>
        <w:rPr>
          <w:rFonts w:ascii="Times New Roman" w:eastAsia="Times New Roman" w:hAnsi="Times New Roman" w:cs="Times New Roman"/>
          <w:sz w:val="20"/>
          <w:szCs w:val="20"/>
          <w:shd w:val="clear" w:color="auto" w:fill="606060"/>
        </w:rPr>
      </w:pPr>
      <w:r>
        <w:rPr>
          <w:rFonts w:ascii="Times New Roman" w:eastAsia="Times New Roman" w:hAnsi="Times New Roman" w:cs="Times New Roman"/>
          <w:sz w:val="20"/>
          <w:szCs w:val="20"/>
        </w:rPr>
        <w:t xml:space="preserve">13. Project code and data (defischolar_margin_risk), GitHub, </w:t>
      </w:r>
      <w:hyperlink r:id="rId24" w:history="1">
        <w:r w:rsidR="00B83D2B" w:rsidRPr="007B3EE9">
          <w:rPr>
            <w:rStyle w:val="Hyperlink"/>
            <w:rFonts w:ascii="Times New Roman" w:eastAsia="Times New Roman" w:hAnsi="Times New Roman" w:cs="Times New Roman"/>
            <w:sz w:val="20"/>
            <w:szCs w:val="20"/>
          </w:rPr>
          <w:t>https://github.com/markurusov1/defischolar_margin_risk/tree/v2/data/eth-usd-max.csv</w:t>
        </w:r>
      </w:hyperlink>
      <w:r>
        <w:rPr>
          <w:rFonts w:ascii="Times New Roman" w:eastAsia="Times New Roman" w:hAnsi="Times New Roman" w:cs="Times New Roman"/>
          <w:sz w:val="20"/>
          <w:szCs w:val="20"/>
          <w:shd w:val="clear" w:color="auto" w:fill="606060"/>
        </w:rPr>
        <w:t xml:space="preserve"> </w:t>
      </w:r>
    </w:p>
    <w:p w14:paraId="70CC212E" w14:textId="77777777" w:rsidR="00DC1115" w:rsidRDefault="00DC1115">
      <w:pPr>
        <w:shd w:val="clear" w:color="auto" w:fill="FFFFFF"/>
        <w:rPr>
          <w:rFonts w:ascii="Times New Roman" w:eastAsia="Times New Roman" w:hAnsi="Times New Roman" w:cs="Times New Roman"/>
          <w:sz w:val="20"/>
          <w:szCs w:val="20"/>
        </w:rPr>
      </w:pPr>
    </w:p>
    <w:p w14:paraId="6221CCC8" w14:textId="77777777" w:rsidR="00DC1115" w:rsidRDefault="00000000">
      <w:pPr>
        <w:shd w:val="clear" w:color="auto" w:fill="FFFFFF"/>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 xml:space="preserve">14. Heimbach, L., Schertenleib, E., &amp; Wattenhofer, R. (2022). Risks and Returns of Uniswap V3 Liquidity Providers. arXiv:2205.08904. </w:t>
      </w:r>
      <w:hyperlink r:id="rId25">
        <w:r w:rsidR="00DC1115">
          <w:rPr>
            <w:rFonts w:ascii="Times New Roman" w:eastAsia="Times New Roman" w:hAnsi="Times New Roman" w:cs="Times New Roman"/>
            <w:color w:val="000000"/>
            <w:sz w:val="20"/>
            <w:szCs w:val="20"/>
            <w:u w:val="single"/>
          </w:rPr>
          <w:t>https://arxiv.org/abs/2205.08904</w:t>
        </w:r>
      </w:hyperlink>
      <w:r>
        <w:rPr>
          <w:rFonts w:ascii="Times New Roman" w:eastAsia="Times New Roman" w:hAnsi="Times New Roman" w:cs="Times New Roman"/>
          <w:sz w:val="20"/>
          <w:szCs w:val="20"/>
        </w:rPr>
        <w:t xml:space="preserve"> </w:t>
      </w:r>
    </w:p>
    <w:p w14:paraId="45BA0439" w14:textId="77777777" w:rsidR="00DC1115" w:rsidRDefault="00DC1115">
      <w:pPr>
        <w:shd w:val="clear" w:color="auto" w:fill="FFFFFF"/>
        <w:rPr>
          <w:rFonts w:ascii="Times New Roman" w:eastAsia="Times New Roman" w:hAnsi="Times New Roman" w:cs="Times New Roman"/>
          <w:sz w:val="20"/>
          <w:szCs w:val="20"/>
        </w:rPr>
      </w:pPr>
    </w:p>
    <w:p w14:paraId="0C40EA4F" w14:textId="77777777" w:rsidR="00DC1115" w:rsidRDefault="00000000">
      <w:pPr>
        <w:shd w:val="clear" w:color="auto" w:fill="FFFFFF"/>
        <w:rPr>
          <w:rFonts w:ascii="Times New Roman" w:eastAsia="Times New Roman" w:hAnsi="Times New Roman" w:cs="Times New Roman"/>
          <w:sz w:val="20"/>
          <w:szCs w:val="20"/>
        </w:rPr>
      </w:pPr>
      <w:r>
        <w:rPr>
          <w:rFonts w:ascii="Times New Roman" w:eastAsia="Times New Roman" w:hAnsi="Times New Roman" w:cs="Times New Roman"/>
          <w:sz w:val="20"/>
          <w:szCs w:val="20"/>
        </w:rPr>
        <w:t>15. Options Clearing Corporation (OCC), "Customer Portfolio Margin" (TIMS methodology). https://www.theocc.com/Risk-Management/Customer-Portfolio-Margin</w:t>
      </w:r>
    </w:p>
    <w:p w14:paraId="4B55877F" w14:textId="77777777" w:rsidR="00F0454B" w:rsidRDefault="00F0454B">
      <w:pPr>
        <w:shd w:val="clear" w:color="auto" w:fill="FFFFFF"/>
        <w:rPr>
          <w:rFonts w:ascii="Times New Roman" w:eastAsia="Times New Roman" w:hAnsi="Times New Roman" w:cs="Times New Roman"/>
          <w:sz w:val="20"/>
          <w:szCs w:val="20"/>
        </w:rPr>
      </w:pPr>
    </w:p>
    <w:sectPr w:rsidR="00F0454B">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Verdana">
    <w:panose1 w:val="020B0604030504040204"/>
    <w:charset w:val="00"/>
    <w:family w:val="swiss"/>
    <w:pitch w:val="variable"/>
    <w:sig w:usb0="A00006FF" w:usb1="4000205B" w:usb2="00000010" w:usb3="00000000" w:csb0="0000019F" w:csb1="00000000"/>
    <w:embedRegular r:id="rId1" w:fontKey="{33A25C87-63E9-46A5-849F-78B81A6ABBCB}"/>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8AFCFDE0-D125-4035-A209-F41E38A39246}"/>
  </w:font>
  <w:font w:name="Cambria">
    <w:panose1 w:val="02040503050406030204"/>
    <w:charset w:val="00"/>
    <w:family w:val="roman"/>
    <w:pitch w:val="variable"/>
    <w:sig w:usb0="E00006FF" w:usb1="420024FF" w:usb2="02000000" w:usb3="00000000" w:csb0="0000019F" w:csb1="00000000"/>
    <w:embedRegular r:id="rId3" w:fontKey="{1D384D14-0C63-48CA-BDD3-1365C8162111}"/>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46785"/>
    <w:multiLevelType w:val="multilevel"/>
    <w:tmpl w:val="288A95FC"/>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B131269"/>
    <w:multiLevelType w:val="multilevel"/>
    <w:tmpl w:val="068C733C"/>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B9B797E"/>
    <w:multiLevelType w:val="multilevel"/>
    <w:tmpl w:val="2CF05B5C"/>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 w15:restartNumberingAfterBreak="0">
    <w:nsid w:val="0DC85B83"/>
    <w:multiLevelType w:val="multilevel"/>
    <w:tmpl w:val="FF9CC91E"/>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EC640E8"/>
    <w:multiLevelType w:val="multilevel"/>
    <w:tmpl w:val="ACD616E0"/>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3565812"/>
    <w:multiLevelType w:val="multilevel"/>
    <w:tmpl w:val="C9A4288C"/>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4840AE2"/>
    <w:multiLevelType w:val="multilevel"/>
    <w:tmpl w:val="87565070"/>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69F3CB6"/>
    <w:multiLevelType w:val="multilevel"/>
    <w:tmpl w:val="893EB142"/>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41CA1769"/>
    <w:multiLevelType w:val="hybridMultilevel"/>
    <w:tmpl w:val="B52A9C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8894133"/>
    <w:multiLevelType w:val="multilevel"/>
    <w:tmpl w:val="2B66326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68D33F94"/>
    <w:multiLevelType w:val="multilevel"/>
    <w:tmpl w:val="876A8ECA"/>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6C2D3AA0"/>
    <w:multiLevelType w:val="multilevel"/>
    <w:tmpl w:val="83143164"/>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7F2030F5"/>
    <w:multiLevelType w:val="multilevel"/>
    <w:tmpl w:val="A274C472"/>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7FE70C77"/>
    <w:multiLevelType w:val="multilevel"/>
    <w:tmpl w:val="72C679B0"/>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0" w:hanging="360"/>
      </w:pPr>
      <w:rPr>
        <w:u w:val="none"/>
      </w:rPr>
    </w:lvl>
    <w:lvl w:ilvl="2">
      <w:start w:val="1"/>
      <w:numFmt w:val="bullet"/>
      <w:lvlText w:val="■"/>
      <w:lvlJc w:val="left"/>
      <w:pPr>
        <w:ind w:left="720" w:hanging="360"/>
      </w:pPr>
      <w:rPr>
        <w:u w:val="none"/>
      </w:rPr>
    </w:lvl>
    <w:lvl w:ilvl="3">
      <w:start w:val="1"/>
      <w:numFmt w:val="bullet"/>
      <w:lvlText w:val="●"/>
      <w:lvlJc w:val="left"/>
      <w:pPr>
        <w:ind w:left="1440" w:hanging="360"/>
      </w:pPr>
      <w:rPr>
        <w:u w:val="none"/>
      </w:rPr>
    </w:lvl>
    <w:lvl w:ilvl="4">
      <w:start w:val="1"/>
      <w:numFmt w:val="bullet"/>
      <w:lvlText w:val="○"/>
      <w:lvlJc w:val="left"/>
      <w:pPr>
        <w:ind w:left="2160" w:hanging="360"/>
      </w:pPr>
      <w:rPr>
        <w:u w:val="none"/>
      </w:rPr>
    </w:lvl>
    <w:lvl w:ilvl="5">
      <w:start w:val="1"/>
      <w:numFmt w:val="bullet"/>
      <w:lvlText w:val="■"/>
      <w:lvlJc w:val="left"/>
      <w:pPr>
        <w:ind w:left="2880" w:hanging="360"/>
      </w:pPr>
      <w:rPr>
        <w:u w:val="none"/>
      </w:rPr>
    </w:lvl>
    <w:lvl w:ilvl="6">
      <w:start w:val="1"/>
      <w:numFmt w:val="bullet"/>
      <w:lvlText w:val="●"/>
      <w:lvlJc w:val="left"/>
      <w:pPr>
        <w:ind w:left="3600" w:hanging="360"/>
      </w:pPr>
      <w:rPr>
        <w:u w:val="none"/>
      </w:rPr>
    </w:lvl>
    <w:lvl w:ilvl="7">
      <w:start w:val="1"/>
      <w:numFmt w:val="bullet"/>
      <w:lvlText w:val="○"/>
      <w:lvlJc w:val="left"/>
      <w:pPr>
        <w:ind w:left="4320" w:hanging="360"/>
      </w:pPr>
      <w:rPr>
        <w:u w:val="none"/>
      </w:rPr>
    </w:lvl>
    <w:lvl w:ilvl="8">
      <w:start w:val="1"/>
      <w:numFmt w:val="bullet"/>
      <w:lvlText w:val="■"/>
      <w:lvlJc w:val="left"/>
      <w:pPr>
        <w:ind w:left="5040" w:hanging="360"/>
      </w:pPr>
      <w:rPr>
        <w:u w:val="none"/>
      </w:rPr>
    </w:lvl>
  </w:abstractNum>
  <w:num w:numId="1" w16cid:durableId="1294562439">
    <w:abstractNumId w:val="13"/>
  </w:num>
  <w:num w:numId="2" w16cid:durableId="1543902385">
    <w:abstractNumId w:val="1"/>
  </w:num>
  <w:num w:numId="3" w16cid:durableId="501896690">
    <w:abstractNumId w:val="5"/>
  </w:num>
  <w:num w:numId="4" w16cid:durableId="2021663911">
    <w:abstractNumId w:val="9"/>
  </w:num>
  <w:num w:numId="5" w16cid:durableId="914629884">
    <w:abstractNumId w:val="2"/>
  </w:num>
  <w:num w:numId="6" w16cid:durableId="1255672114">
    <w:abstractNumId w:val="7"/>
  </w:num>
  <w:num w:numId="7" w16cid:durableId="2113016445">
    <w:abstractNumId w:val="4"/>
  </w:num>
  <w:num w:numId="8" w16cid:durableId="1952123659">
    <w:abstractNumId w:val="0"/>
  </w:num>
  <w:num w:numId="9" w16cid:durableId="1957905668">
    <w:abstractNumId w:val="3"/>
  </w:num>
  <w:num w:numId="10" w16cid:durableId="1862284254">
    <w:abstractNumId w:val="6"/>
  </w:num>
  <w:num w:numId="11" w16cid:durableId="1226528546">
    <w:abstractNumId w:val="11"/>
  </w:num>
  <w:num w:numId="12" w16cid:durableId="929846980">
    <w:abstractNumId w:val="10"/>
  </w:num>
  <w:num w:numId="13" w16cid:durableId="2020424707">
    <w:abstractNumId w:val="12"/>
  </w:num>
  <w:num w:numId="14" w16cid:durableId="130955435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1115"/>
    <w:rsid w:val="000D4F5B"/>
    <w:rsid w:val="00151CC6"/>
    <w:rsid w:val="001C6DBF"/>
    <w:rsid w:val="0027144A"/>
    <w:rsid w:val="002F74B7"/>
    <w:rsid w:val="003F153C"/>
    <w:rsid w:val="006B1F48"/>
    <w:rsid w:val="007A3D88"/>
    <w:rsid w:val="008C179A"/>
    <w:rsid w:val="00A53E97"/>
    <w:rsid w:val="00AE7841"/>
    <w:rsid w:val="00B311C1"/>
    <w:rsid w:val="00B83D2B"/>
    <w:rsid w:val="00B86292"/>
    <w:rsid w:val="00BA078A"/>
    <w:rsid w:val="00C6398E"/>
    <w:rsid w:val="00C92828"/>
    <w:rsid w:val="00CD51A5"/>
    <w:rsid w:val="00D13562"/>
    <w:rsid w:val="00DC1115"/>
    <w:rsid w:val="00DD1CA4"/>
    <w:rsid w:val="00E400AF"/>
    <w:rsid w:val="00E56589"/>
    <w:rsid w:val="00EC77B8"/>
    <w:rsid w:val="00F045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CCCF72"/>
  <w15:docId w15:val="{C7A2AC2D-B6AD-479C-8D02-2F2A03F32B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 w:type="dxa"/>
        <w:bottom w:w="0" w:type="dxa"/>
        <w:right w:w="10" w:type="dxa"/>
      </w:tblCellMar>
    </w:tblPr>
  </w:style>
  <w:style w:type="table" w:customStyle="1" w:styleId="a0">
    <w:basedOn w:val="TableNormal0"/>
    <w:tblPr>
      <w:tblStyleRowBandSize w:val="1"/>
      <w:tblStyleColBandSize w:val="1"/>
    </w:tblPr>
  </w:style>
  <w:style w:type="character" w:styleId="Hyperlink">
    <w:name w:val="Hyperlink"/>
    <w:basedOn w:val="DefaultParagraphFont"/>
    <w:uiPriority w:val="99"/>
    <w:unhideWhenUsed/>
    <w:rsid w:val="00B83D2B"/>
    <w:rPr>
      <w:color w:val="0000FF" w:themeColor="hyperlink"/>
      <w:u w:val="single"/>
    </w:rPr>
  </w:style>
  <w:style w:type="character" w:styleId="UnresolvedMention">
    <w:name w:val="Unresolved Mention"/>
    <w:basedOn w:val="DefaultParagraphFont"/>
    <w:uiPriority w:val="99"/>
    <w:semiHidden/>
    <w:unhideWhenUsed/>
    <w:rsid w:val="00B83D2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en.wikipedia.org/wiki/Bankruptcy_of_FTX" TargetMode="External"/><Relationship Id="rId18" Type="http://schemas.openxmlformats.org/officeDocument/2006/relationships/hyperlink" Target="https://insights4vc.substack.com/p/inside-the-19b-flash-crash"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app.uniswap.org/whitepaper-v3.pdf"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yperlink" Target="https://aurpay.net/aurspace/crypto-crash-october-2025-bitcoin-liquidation-explained" TargetMode="External"/><Relationship Id="rId25" Type="http://schemas.openxmlformats.org/officeDocument/2006/relationships/hyperlink" Target="https://arxiv.org/abs/2205.08904" TargetMode="External"/><Relationship Id="rId2" Type="http://schemas.openxmlformats.org/officeDocument/2006/relationships/numbering" Target="numbering.xml"/><Relationship Id="rId16" Type="http://schemas.openxmlformats.org/officeDocument/2006/relationships/hyperlink" Target="https://www.coindesk.com/markets/2025/10/11/largest-ever-crypto-liquidation-event-wipes-out-6300-wallets-on-hyperliquid" TargetMode="External"/><Relationship Id="rId20" Type="http://schemas.openxmlformats.org/officeDocument/2006/relationships/hyperlink" Target="https://defillama.com/protocol/uniswap"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hyperlink" Target="https://github.com/markurusov1/defischolar_margin_risk/tree/v2/data/eth-usd-max.csv" TargetMode="External"/><Relationship Id="rId5" Type="http://schemas.openxmlformats.org/officeDocument/2006/relationships/webSettings" Target="webSettings.xml"/><Relationship Id="rId15" Type="http://schemas.openxmlformats.org/officeDocument/2006/relationships/hyperlink" Target="https://www.fticonsulting.com/insights/articles/crypto-crash-october-2025-leverage-met-liquidity" TargetMode="External"/><Relationship Id="rId23" Type="http://schemas.openxmlformats.org/officeDocument/2006/relationships/hyperlink" Target="https://www.sec.gov/files/rules/sro/nyse/2006/34-54918.pdf" TargetMode="External"/><Relationship Id="rId10" Type="http://schemas.openxmlformats.org/officeDocument/2006/relationships/image" Target="media/image5.png"/><Relationship Id="rId19" Type="http://schemas.openxmlformats.org/officeDocument/2006/relationships/hyperlink" Target="https://docs.aave.com/risk/"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www.investopedia.com/what-went-wrong-with-ftx-6828447" TargetMode="External"/><Relationship Id="rId22" Type="http://schemas.openxmlformats.org/officeDocument/2006/relationships/hyperlink" Target="https://governance.aave.com/" TargetMode="External"/><Relationship Id="rId27"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o+2B08iAA2i9E42NWgnb/Iy0gTQ==">CgMxLjAaJQoBMBIgCh4IB0IaCg9UaW1lcyBOZXcgUm9tYW4SB0d1bmdzdWgaJQoBMRIgCh4IB0IaCg9UaW1lcyBOZXcgUm9tYW4SB0d1bmdzdWg4AHIhMURFUFBtRUtIUFRXUUxLQjF5cmR4a0t0WjhDX19vQVlh</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30</TotalTime>
  <Pages>16</Pages>
  <Words>5383</Words>
  <Characters>30685</Characters>
  <Application>Microsoft Office Word</Application>
  <DocSecurity>0</DocSecurity>
  <Lines>255</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Mark Urusov</dc:creator>
  <cp:lastModifiedBy>Mark Urusov</cp:lastModifiedBy>
  <cp:revision>7</cp:revision>
  <cp:lastPrinted>2026-07-25T17:52:00Z</cp:lastPrinted>
  <dcterms:created xsi:type="dcterms:W3CDTF">2026-07-25T13:17:00Z</dcterms:created>
  <dcterms:modified xsi:type="dcterms:W3CDTF">2026-07-25T18:23:00Z</dcterms:modified>
</cp:coreProperties>
</file>