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jc w:val="both"/>
              <w:rPr/>
            </w:pPr>
            <w:r w:rsidDel="00000000" w:rsidR="00000000" w:rsidRPr="00000000">
              <w:rPr>
                <w:rtl w:val="0"/>
              </w:rPr>
              <w:t xml:space="preserve">Subject: Database Administration Policy</w:t>
            </w:r>
          </w:p>
        </w:tc>
        <w:tc>
          <w:tcPr/>
          <w:p w:rsidR="00000000" w:rsidDel="00000000" w:rsidP="00000000" w:rsidRDefault="00000000" w:rsidRPr="00000000" w14:paraId="00000003">
            <w:pPr>
              <w:pageBreakBefore w:val="0"/>
              <w:jc w:val="both"/>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jc w:val="both"/>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jc w:val="both"/>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jc w:val="both"/>
              <w:rPr/>
            </w:pPr>
            <w:r w:rsidDel="00000000" w:rsidR="00000000" w:rsidRPr="00000000">
              <w:rPr>
                <w:rtl w:val="0"/>
              </w:rPr>
              <w:t xml:space="preserve">Approved by:</w:t>
            </w:r>
          </w:p>
        </w:tc>
        <w:tc>
          <w:tcPr/>
          <w:p w:rsidR="00000000" w:rsidDel="00000000" w:rsidP="00000000" w:rsidRDefault="00000000" w:rsidRPr="00000000" w14:paraId="00000007">
            <w:pPr>
              <w:pageBreakBefore w:val="0"/>
              <w:jc w:val="both"/>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Database administration is an operational function responsible for maintaining physical database design, security enforcement and database performance. </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OBJECTIVE</w:t>
      </w:r>
    </w:p>
    <w:p w:rsidR="00000000" w:rsidDel="00000000" w:rsidP="00000000" w:rsidRDefault="00000000" w:rsidRPr="00000000" w14:paraId="0000000B">
      <w:pPr>
        <w:pageBreakBefore w:val="0"/>
        <w:jc w:val="both"/>
        <w:rPr/>
      </w:pPr>
      <w:r w:rsidDel="00000000" w:rsidR="00000000" w:rsidRPr="00000000">
        <w:rPr>
          <w:rtl w:val="0"/>
        </w:rPr>
        <w:t xml:space="preserve">This database administration policy will establish data standards that ensure consistency, accuracy and integrity of SAMULCO’S Database. </w:t>
      </w:r>
    </w:p>
    <w:p w:rsidR="00000000" w:rsidDel="00000000" w:rsidP="00000000" w:rsidRDefault="00000000" w:rsidRPr="00000000" w14:paraId="0000000C">
      <w:pPr>
        <w:pageBreakBefore w:val="0"/>
        <w:jc w:val="both"/>
        <w:rPr/>
      </w:pPr>
      <w:r w:rsidDel="00000000" w:rsidR="00000000" w:rsidRPr="00000000">
        <w:rPr>
          <w:rtl w:val="0"/>
        </w:rPr>
        <w:t xml:space="preserve">This Policy should be read in conjunction with previous MIS Policies and Guidelines, Namely:</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IT-0112(Audit Controls and Review)</w:t>
      </w:r>
    </w:p>
    <w:p w:rsidR="00000000" w:rsidDel="00000000" w:rsidP="00000000" w:rsidRDefault="00000000" w:rsidRPr="00000000" w14:paraId="0000000E">
      <w:pPr>
        <w:pageBreakBefore w:val="0"/>
        <w:jc w:val="both"/>
        <w:rPr/>
      </w:pPr>
      <w:r w:rsidDel="00000000" w:rsidR="00000000" w:rsidRPr="00000000">
        <w:rPr>
          <w:rtl w:val="0"/>
        </w:rPr>
        <w:t xml:space="preserve">This Database administration policy will ensure that data’s are secured from any unauthorized access.  Employees are required to abide by guidelines stated hereunder;</w:t>
      </w:r>
    </w:p>
    <w:p w:rsidR="00000000" w:rsidDel="00000000" w:rsidP="00000000" w:rsidRDefault="00000000" w:rsidRPr="00000000" w14:paraId="0000000F">
      <w:pPr>
        <w:pageBreakBefore w:val="0"/>
        <w:jc w:val="both"/>
        <w:rPr>
          <w:b w:val="1"/>
          <w:u w:val="single"/>
        </w:rPr>
      </w:pPr>
      <w:r w:rsidDel="00000000" w:rsidR="00000000" w:rsidRPr="00000000">
        <w:rPr>
          <w:b w:val="1"/>
          <w:u w:val="single"/>
          <w:rtl w:val="0"/>
        </w:rPr>
        <w:t xml:space="preserve">POLICY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Responsibilities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database installation, upgrade and patching.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 and monitor physical storage for Database systems.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database consistency and integrity.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and coordinate data migrations.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 and resolve database access issues.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database transaction and security audits.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database encryption.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Security.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security measures ensures cooperative databases are protected from any internal and external threats. SAMULCO must secure database from any security threats, as well as misuse of data from end-users.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must ensure following security procedures are implemented.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Database Encryption.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Encryption is the most commonly used database security. Encrypted data is transfigured so it will look as an ordinary file. This encrypted file can only be decrypted using keys being set by the MIS department.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Database Access Permission.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Managing access permission of end-users is critical for maintaining database security. Multifactor authentication measures will be set on every end-user. Quarterly update of access permissions will be made to ensure user accounts are secure from any unauthorized access.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Firewall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Firewall serves as a perimeter layer defense from any intruder that is trying to access SAMULCO’s sensitive data via Internet or Intranet. Firewalls are designed to filter all information coming through. This will prevent potential harmful information for getting through to SAMULCO network.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Auditing.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procedure will help the MIS department to quickly react to any database security breaches if there are any unauthorized accesses to data. Auditing procedures usually do reading of log files of databases and application. This will disclose who accessed the database or applications, when did they accessed it and what they did.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User Education.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common reason of data breaches or data loss is due to end-users lack of understanding on what they are doing. MIS department together with the heads of different departments should ensure their subordinates are well-trained and highly capable of handling SAMULCO’s systems application which contains highly sensitive data. MIS Department will be responsible on educating end-users with regards to security threats that might come via Internet, emails or external devices.  Department heads on the other hand will educate their subordinates regarding ethical procedure on handling sensitive information. Educating end-user will always be the best defense of database security.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Backup and Recovery.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Procedure involves in protecting SAMULCO database against data loss and reconstructing database after any kind of data loss.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Backup Schedule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Department will set all backup to automatic every after end of day procedure done by end-users. These daily backups will be generated daily.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Backups 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Backups should be stored to 3 different ways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67"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File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central server storage in a computer network that stores files which contains company data files. These can be accessed by authorized end-users.  MIS must ensure that these confidential files are being encrypted safely. </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67"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External Devices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portable storage device is typically used to store data. To ensure safety of data stored on external device, data files will be encrypted and the external device will stored physically on a safety vault.    </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67"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method stores data over the internet. MIS should ensure that accidental disclosure of account credentials won’t happen.</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Database Recovery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Process of restoring database to correct data failure due to unavoidable system crash. MIS Department will initiate every need of database recovery that may occur.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67"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25400</wp:posOffset>
                </wp:positionV>
                <wp:extent cx="6007100" cy="25400"/>
                <wp:effectExtent b="0" l="0" r="0" t="0"/>
                <wp:wrapNone/>
                <wp:docPr id="6" name=""/>
                <a:graphic>
                  <a:graphicData uri="http://schemas.microsoft.com/office/word/2010/wordprocessingShape">
                    <wps:wsp>
                      <wps:cNvSpPr/>
                      <wps:cNvPr id="7" name="Shape 7"/>
                      <wps:spPr>
                        <a:xfrm>
                          <a:off x="2348800" y="3780000"/>
                          <a:ext cx="5994400" cy="0"/>
                        </a:xfrm>
                        <a:custGeom>
                          <a:rect b="b" l="l" r="r" t="t"/>
                          <a:pathLst>
                            <a:path extrusionOk="0" h="1" w="5994400">
                              <a:moveTo>
                                <a:pt x="0" y="0"/>
                              </a:moveTo>
                              <a:lnTo>
                                <a:pt x="59944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25400</wp:posOffset>
                </wp:positionV>
                <wp:extent cx="6007100" cy="254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07100" cy="25400"/>
                        </a:xfrm>
                        <a:prstGeom prst="rect"/>
                        <a:ln/>
                      </pic:spPr>
                    </pic:pic>
                  </a:graphicData>
                </a:graphic>
              </wp:anchor>
            </w:drawing>
          </mc:Fallback>
        </mc:AlternateContent>
      </w:r>
    </w:p>
    <w:p w:rsidR="00000000" w:rsidDel="00000000" w:rsidP="00000000" w:rsidRDefault="00000000" w:rsidRPr="00000000" w14:paraId="0000002D">
      <w:pPr>
        <w:pageBreakBefore w:val="0"/>
        <w:jc w:val="center"/>
        <w:rPr/>
      </w:pPr>
      <w:r w:rsidDel="00000000" w:rsidR="00000000" w:rsidRPr="00000000">
        <w:rPr>
          <w:rtl w:val="0"/>
        </w:rPr>
        <w:t xml:space="preserve">ACKNOWLEDGEMENT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139700</wp:posOffset>
                </wp:positionV>
                <wp:extent cx="1841500" cy="25400"/>
                <wp:effectExtent b="0" l="0" r="0" t="0"/>
                <wp:wrapNone/>
                <wp:docPr id="4" name=""/>
                <a:graphic>
                  <a:graphicData uri="http://schemas.microsoft.com/office/word/2010/wordprocessingShape">
                    <wps:wsp>
                      <wps:cNvSpPr/>
                      <wps:cNvPr id="5" name="Shape 5"/>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139700</wp:posOffset>
                </wp:positionV>
                <wp:extent cx="1841500" cy="254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3">
      <w:pPr>
        <w:pageBreakBefore w:val="0"/>
        <w:jc w:val="center"/>
        <w:rPr/>
      </w:pPr>
      <w:r w:rsidDel="00000000" w:rsidR="00000000" w:rsidRPr="00000000">
        <w:rPr>
          <w:rtl w:val="0"/>
        </w:rPr>
        <w:t xml:space="preserve">Printed Name and Signature</w:t>
      </w:r>
    </w:p>
    <w:p w:rsidR="00000000" w:rsidDel="00000000" w:rsidP="00000000" w:rsidRDefault="00000000" w:rsidRPr="00000000" w14:paraId="00000034">
      <w:pPr>
        <w:pageBreakBefore w:val="0"/>
        <w:jc w:val="center"/>
        <w:rPr/>
      </w:pPr>
      <w:r w:rsidDel="00000000" w:rsidR="00000000" w:rsidRPr="00000000">
        <w:rPr>
          <w:rtl w:val="0"/>
        </w:rPr>
      </w:r>
    </w:p>
    <w:p w:rsidR="00000000" w:rsidDel="00000000" w:rsidP="00000000" w:rsidRDefault="00000000" w:rsidRPr="00000000" w14:paraId="00000035">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139700</wp:posOffset>
                </wp:positionV>
                <wp:extent cx="1841500" cy="25400"/>
                <wp:effectExtent b="0" l="0" r="0" t="0"/>
                <wp:wrapNone/>
                <wp:docPr id="8" name=""/>
                <a:graphic>
                  <a:graphicData uri="http://schemas.microsoft.com/office/word/2010/wordprocessingShape">
                    <wps:wsp>
                      <wps:cNvSpPr/>
                      <wps:cNvPr id="9" name="Shape 9"/>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139700</wp:posOffset>
                </wp:positionV>
                <wp:extent cx="1841500" cy="254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6">
      <w:pPr>
        <w:pageBreakBefore w:val="0"/>
        <w:jc w:val="center"/>
        <w:rPr/>
      </w:pPr>
      <w:r w:rsidDel="00000000" w:rsidR="00000000" w:rsidRPr="00000000">
        <w:rPr>
          <w:rtl w:val="0"/>
        </w:rPr>
        <w:t xml:space="preserve">Designation</w:t>
      </w:r>
    </w:p>
    <w:p w:rsidR="00000000" w:rsidDel="00000000" w:rsidP="00000000" w:rsidRDefault="00000000" w:rsidRPr="00000000" w14:paraId="00000037">
      <w:pPr>
        <w:pageBreakBefore w:val="0"/>
        <w:jc w:val="center"/>
        <w:rPr/>
      </w:pPr>
      <w:r w:rsidDel="00000000" w:rsidR="00000000" w:rsidRPr="00000000">
        <w:rPr>
          <w:rtl w:val="0"/>
        </w:rPr>
      </w:r>
    </w:p>
    <w:p w:rsidR="00000000" w:rsidDel="00000000" w:rsidP="00000000" w:rsidRDefault="00000000" w:rsidRPr="00000000" w14:paraId="00000038">
      <w:pPr>
        <w:pageBreakBefore w:val="0"/>
        <w:jc w:val="center"/>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139700</wp:posOffset>
                </wp:positionV>
                <wp:extent cx="1841500" cy="25400"/>
                <wp:effectExtent b="0" l="0" r="0" t="0"/>
                <wp:wrapNone/>
                <wp:docPr id="2" name=""/>
                <a:graphic>
                  <a:graphicData uri="http://schemas.microsoft.com/office/word/2010/wordprocessingShape">
                    <wps:wsp>
                      <wps:cNvSpPr/>
                      <wps:cNvPr id="3" name="Shape 3"/>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139700</wp:posOffset>
                </wp:positionV>
                <wp:extent cx="1841500" cy="25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9">
      <w:pPr>
        <w:pageBreakBefore w:val="0"/>
        <w:jc w:val="center"/>
        <w:rPr/>
      </w:pPr>
      <w:r w:rsidDel="00000000" w:rsidR="00000000" w:rsidRPr="00000000">
        <w:rPr>
          <w:rtl w:val="0"/>
        </w:rPr>
        <w:t xml:space="preserve">Date Signed</w:t>
      </w:r>
    </w:p>
    <w:p w:rsidR="00000000" w:rsidDel="00000000" w:rsidP="00000000" w:rsidRDefault="00000000" w:rsidRPr="00000000" w14:paraId="0000003A">
      <w:pPr>
        <w:pageBreakBefore w:val="0"/>
        <w:jc w:val="both"/>
        <w:rPr/>
      </w:pPr>
      <w:r w:rsidDel="00000000" w:rsidR="00000000" w:rsidRPr="00000000">
        <w:rPr>
          <w:rtl w:val="0"/>
        </w:rPr>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9"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
              <a:graphic>
                <a:graphicData uri="http://schemas.microsoft.com/office/word/2010/wordprocessingShape">
                  <wps:wsp>
                    <wps:cNvSpPr/>
                    <wps:cNvPr id="6" name="Shape 6"/>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
              <a:graphic>
                <a:graphicData uri="http://schemas.microsoft.com/office/word/2010/wordprocessingShape">
                  <wps:wsp>
                    <wps:cNvSpPr/>
                    <wps:cNvPr id="4" name="Shape 4"/>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Database Administration Policy</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
              <a:graphic>
                <a:graphicData uri="http://schemas.microsoft.com/office/word/2010/wordprocessingShape">
                  <wps:wsp>
                    <wps:cNvSpPr/>
                    <wps:cNvPr id="8" name="Shape 8"/>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2 of  NUMPAGES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lowerLetter"/>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lowerLetter"/>
      <w:lvlText w:val="%1."/>
      <w:lvlJc w:val="lef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bullet"/>
      <w:lvlText w:val="●"/>
      <w:lvlJc w:val="left"/>
      <w:pPr>
        <w:ind w:left="2267" w:hanging="360"/>
      </w:pPr>
      <w:rPr>
        <w:rFonts w:ascii="Noto Sans Symbols" w:cs="Noto Sans Symbols" w:eastAsia="Noto Sans Symbols" w:hAnsi="Noto Sans Symbols"/>
      </w:rPr>
    </w:lvl>
    <w:lvl w:ilvl="1">
      <w:start w:val="1"/>
      <w:numFmt w:val="bullet"/>
      <w:lvlText w:val="o"/>
      <w:lvlJc w:val="left"/>
      <w:pPr>
        <w:ind w:left="2987" w:hanging="360"/>
      </w:pPr>
      <w:rPr>
        <w:rFonts w:ascii="Courier New" w:cs="Courier New" w:eastAsia="Courier New" w:hAnsi="Courier New"/>
      </w:rPr>
    </w:lvl>
    <w:lvl w:ilvl="2">
      <w:start w:val="1"/>
      <w:numFmt w:val="bullet"/>
      <w:lvlText w:val="▪"/>
      <w:lvlJc w:val="left"/>
      <w:pPr>
        <w:ind w:left="3707" w:hanging="360"/>
      </w:pPr>
      <w:rPr>
        <w:rFonts w:ascii="Noto Sans Symbols" w:cs="Noto Sans Symbols" w:eastAsia="Noto Sans Symbols" w:hAnsi="Noto Sans Symbols"/>
      </w:rPr>
    </w:lvl>
    <w:lvl w:ilvl="3">
      <w:start w:val="1"/>
      <w:numFmt w:val="bullet"/>
      <w:lvlText w:val="●"/>
      <w:lvlJc w:val="left"/>
      <w:pPr>
        <w:ind w:left="4427" w:hanging="360"/>
      </w:pPr>
      <w:rPr>
        <w:rFonts w:ascii="Noto Sans Symbols" w:cs="Noto Sans Symbols" w:eastAsia="Noto Sans Symbols" w:hAnsi="Noto Sans Symbols"/>
      </w:rPr>
    </w:lvl>
    <w:lvl w:ilvl="4">
      <w:start w:val="1"/>
      <w:numFmt w:val="bullet"/>
      <w:lvlText w:val="o"/>
      <w:lvlJc w:val="left"/>
      <w:pPr>
        <w:ind w:left="5147" w:hanging="360"/>
      </w:pPr>
      <w:rPr>
        <w:rFonts w:ascii="Courier New" w:cs="Courier New" w:eastAsia="Courier New" w:hAnsi="Courier New"/>
      </w:rPr>
    </w:lvl>
    <w:lvl w:ilvl="5">
      <w:start w:val="1"/>
      <w:numFmt w:val="bullet"/>
      <w:lvlText w:val="▪"/>
      <w:lvlJc w:val="left"/>
      <w:pPr>
        <w:ind w:left="5867" w:hanging="360"/>
      </w:pPr>
      <w:rPr>
        <w:rFonts w:ascii="Noto Sans Symbols" w:cs="Noto Sans Symbols" w:eastAsia="Noto Sans Symbols" w:hAnsi="Noto Sans Symbols"/>
      </w:rPr>
    </w:lvl>
    <w:lvl w:ilvl="6">
      <w:start w:val="1"/>
      <w:numFmt w:val="bullet"/>
      <w:lvlText w:val="●"/>
      <w:lvlJc w:val="left"/>
      <w:pPr>
        <w:ind w:left="6587" w:hanging="360"/>
      </w:pPr>
      <w:rPr>
        <w:rFonts w:ascii="Noto Sans Symbols" w:cs="Noto Sans Symbols" w:eastAsia="Noto Sans Symbols" w:hAnsi="Noto Sans Symbols"/>
      </w:rPr>
    </w:lvl>
    <w:lvl w:ilvl="7">
      <w:start w:val="1"/>
      <w:numFmt w:val="bullet"/>
      <w:lvlText w:val="o"/>
      <w:lvlJc w:val="left"/>
      <w:pPr>
        <w:ind w:left="7307" w:hanging="360"/>
      </w:pPr>
      <w:rPr>
        <w:rFonts w:ascii="Courier New" w:cs="Courier New" w:eastAsia="Courier New" w:hAnsi="Courier New"/>
      </w:rPr>
    </w:lvl>
    <w:lvl w:ilvl="8">
      <w:start w:val="1"/>
      <w:numFmt w:val="bullet"/>
      <w:lvlText w:val="▪"/>
      <w:lvlJc w:val="left"/>
      <w:pPr>
        <w:ind w:left="8027"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