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uakdmp865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SAMULCO IT Policy 00: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35vlakenj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Objectives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of the IT policy (support cooperative operations, protect member data, ensure compliance).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(applies to staff, officers, contractors, third-party providers).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cooperative values, regulatory compliance, and industry standards (e.g., ISO 27001, BSP guidelines).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br4ugj6ei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Governance &amp; Roles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Governance Structure</w:t>
      </w:r>
      <w:r w:rsidDel="00000000" w:rsidR="00000000" w:rsidRPr="00000000">
        <w:rPr>
          <w:rtl w:val="0"/>
        </w:rPr>
        <w:t xml:space="preserve">: ICT Committee, IT Department, Audit &amp; Compliance.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&amp; Responsibilities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Board / Management: policy approval, oversight.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Team: implementation, monitoring, incident handling.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Employees: adherence, reporting incidents.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Third-party vendors: compliance with cooperative standards.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w798m0gq9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Acceptable Use Policy (AUP)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 for using cooperative-owned devices, email, internet, cloud services.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personal, illegal, or non-coop related activities.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and communication guidelines.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3m3jaorpj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Management &amp; Privacy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classification (public, internal, confidential, highly confidential).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information handling and storage.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retention, archival, and destruction policies.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</w:t>
      </w:r>
      <w:r w:rsidDel="00000000" w:rsidR="00000000" w:rsidRPr="00000000">
        <w:rPr>
          <w:b w:val="1"/>
          <w:bCs w:val="1"/>
          <w:rtl w:val="0"/>
        </w:rPr>
        <w:t xml:space="preserve">Data Privacy Act of 2012 (RA 10173)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j9w0oudye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Information Security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Policy</w:t>
      </w:r>
      <w:r w:rsidDel="00000000" w:rsidR="00000000" w:rsidRPr="00000000">
        <w:rPr>
          <w:rtl w:val="0"/>
        </w:rPr>
        <w:t xml:space="preserve"> (complexity, expiration, MFA).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 (role-based, least privilege principle).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and workstation security (auto-lock, antivirus, patching).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of sensitive data at rest and in transit.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work security (VPN, approved devices).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gdumdg79j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Systems &amp; Network Security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Firewall, IDS/IPS, endpoint security requirements.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management and updates.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security (anti-phishing, spam filters).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secured cooperative Wi-Fi (guest vs staff networks).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1vz5sh0wg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Core Banking System &amp; Financial Applications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access segregation (tellers, loans, admin).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all transactions.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 process for updates/upgrades.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support agreements and SLAs.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h4a5q233t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Business Continuity &amp; Disaster Recovery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policy (frequency, storage locations, testing restores).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 (RTO, RPO targets).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continuity planning (BCP drills, alternative sites).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0c83nd0y8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Incident Management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of security incident (breach, malware, unauthorized access).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reporting procedures (who to notify, timeframe).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levels (minor, major, critical).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 and corrective action process.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6yvqsxdjy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IT Asset Management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of hardware, software, licenses.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guidelines (approved vendors, compatibility).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disposal policy (data wiping, environmentally safe disposal).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jxiwl2c5r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Third-Party &amp; Cloud Services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 diligence requirements (vendor security, financial stability).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agreements (DPA compliance).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Outsourced IT services and SLA monitoring.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 on storing member data on unauthorized cloud apps.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m5ptp3rna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Compliance &amp; Audit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Alignment with BSP regulations (if cooperative is under BSP supervision).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</w:t>
      </w:r>
      <w:r w:rsidDel="00000000" w:rsidR="00000000" w:rsidRPr="00000000">
        <w:rPr>
          <w:b w:val="1"/>
          <w:bCs w:val="1"/>
          <w:rtl w:val="0"/>
        </w:rPr>
        <w:t xml:space="preserve">Cooperative Development Authority (CDA)</w:t>
      </w:r>
      <w:r w:rsidDel="00000000" w:rsidR="00000000" w:rsidRPr="00000000">
        <w:rPr>
          <w:rtl w:val="0"/>
        </w:rPr>
        <w:t xml:space="preserve"> IT-related policies.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and external audit requirements.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IT risk assessments.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7xldip37k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Training &amp; Awareness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staff training on cybersecurity, phishing, data privacy.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employee IT onboarding program.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policy review and refresher sessions.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qtckdcmq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Policy Enforcement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Disciplinary actions for violations.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mechanism for suspected policy breaches.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and updates to policy.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jr3y3kxho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Review &amp; Updates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Frequency of review (annually or bi-annually).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process for updates (Board/ICT Committee).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-909637</wp:posOffset>
          </wp:positionH>
          <wp:positionV relativeFrom="paragraph">
            <wp:posOffset>-457199</wp:posOffset>
          </wp:positionV>
          <wp:extent cx="7760970" cy="1343025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0970" cy="1343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