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purpose of this policy is to specify requirements and responsibilities for the Sta. Ana Multipurpose Cooperative (SAMULCO), in order to maintain essential services and recover critical systems in the event of major failure or disaster.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Immediately following a disaster, the primary objectives of a disaster recovery plan are: (1) to reduce the risk of disruption of operations and loss of information; (2) to communicate responsibilities for the protection of information and continuity of SAMULCO operations; and (3) to establish a plan for restoration of information and operations.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Plans and controls will be in place to enable SAMULCO systems, on and off-site, to continue to operate following a disaster.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Offices who operate, manage, or use Information Technology (IT) services or equipment to support critical SAMULCO business functions.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-2146299</wp:posOffset>
                </wp:positionV>
                <wp:extent cx="5668700" cy="5651370"/>
                <wp:effectExtent b="0" l="0" r="0" t="0"/>
                <wp:wrapSquare wrapText="bothSides" distB="0" distT="0" distL="114300" distR="114300"/>
                <wp:docPr id="10" name=""/>
                <a:graphic>
                  <a:graphicData uri="http://schemas.microsoft.com/office/word/2010/wordprocessingShape">
                    <wps:wsp>
                      <wps:cNvSpPr/>
                      <wps:cNvPr id="11" name="Shape 11"/>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-2146299</wp:posOffset>
                </wp:positionV>
                <wp:extent cx="5668700" cy="565137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IT-0107 – IT Network Security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IT-0108 – IT Information Security</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OP–07, Disaster Recovery</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OP-16, Data Backup/Storage</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MIS OP-18, Managing Information Security Incidents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Responsibilities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create and maintain business continuity and disaster recovery plans in order to effectively resume operations during a disaster or a service disruption.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maintain a disaster recovery plan with procedures designed to provide prompt and effective continuation or critical missions in the event of a disaster.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ensure that all relevant personnel can be contacted when needed to assist in the business continuity and recovery operations.</w:t>
      </w:r>
    </w:p>
    <w:p w:rsidR="00000000" w:rsidDel="00000000" w:rsidP="00000000" w:rsidRDefault="00000000" w:rsidRPr="00000000" w14:paraId="0000002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plans and procedures will undergo annual managerial review of disaster recovery considerations to update technical, environmental, procedural, or administrative changes that may occur.</w:t>
      </w:r>
    </w:p>
    <w:p w:rsidR="00000000" w:rsidDel="00000000" w:rsidP="00000000" w:rsidRDefault="00000000" w:rsidRPr="00000000" w14:paraId="0000002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plans and procedures will undergo annual managerial review of disaster recovery considerations to update technical, environmental, procedural, or administrative changes that may occur.</w:t>
      </w:r>
    </w:p>
    <w:p w:rsidR="00000000" w:rsidDel="00000000" w:rsidP="00000000" w:rsidRDefault="00000000" w:rsidRPr="00000000" w14:paraId="0000002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is responsible for periodically testing their disaster recovery plan(s).</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Responsibilities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provide management and technical support to branches and/or offices during development and/or execution of their disaster recovery plans.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designate an employee, who will work with the MIS Technical Support to document a feasible disaster recovery plan for each Branch.</w:t>
      </w:r>
    </w:p>
    <w:p w:rsidR="00000000" w:rsidDel="00000000" w:rsidP="00000000" w:rsidRDefault="00000000" w:rsidRPr="00000000" w14:paraId="0000002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maintain the ability to process critical information in the event of a disaster.</w:t>
      </w:r>
    </w:p>
    <w:p w:rsidR="00000000" w:rsidDel="00000000" w:rsidP="00000000" w:rsidRDefault="00000000" w:rsidRPr="00000000" w14:paraId="0000002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maintain an inventory of all MIS approved hardware, software, and service contracts, including contact information, for IT systems.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-2171699</wp:posOffset>
                </wp:positionV>
                <wp:extent cx="5668700" cy="5651370"/>
                <wp:effectExtent b="0" l="0" r="0" t="0"/>
                <wp:wrapSquare wrapText="bothSides" distB="0" distT="0" distL="114300" distR="114300"/>
                <wp:docPr id="6" name=""/>
                <a:graphic>
                  <a:graphicData uri="http://schemas.microsoft.com/office/word/2010/wordprocessingShape">
                    <wps:wsp>
                      <wps:cNvSpPr/>
                      <wps:cNvPr id="7" name="Shape 7"/>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-2171699</wp:posOffset>
                </wp:positionV>
                <wp:extent cx="5668700" cy="565137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provide security services, where feasible, to protect information assets from theft, alteration, and/or loss of confidentiality.</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provide monitoring of critical network hardware and services during non-business hours, by a combination of monitoring tools and on-call MIS Staff.</w:t>
      </w:r>
    </w:p>
    <w:p w:rsidR="00000000" w:rsidDel="00000000" w:rsidP="00000000" w:rsidRDefault="00000000" w:rsidRPr="00000000" w14:paraId="0000003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Continuity of information resources supporting critical services must be ensured in the event of a business disruption or a disaster.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expense of security safeguards must be cost effective and equal to the value of the assets being protected, as determined by a risk analysis.</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Backups (see OP-16, Data Backup/Storage)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will have a documented definition of its backup strategy, which will minimally include periodic backup of critical business information systems.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Backups of critical business data and systems will be stored in a physically secured environment, which will be located at a safe distance away from the originating facility to escape a local disaster.</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Backups of critical business data and systems that have been archived for a prolonged period of time will be tested regularly to ensure the information is recoverable and usable.</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is the person designated by the MIS Supervisor to monitor and provide initial enforcement of the SAMULCO’s information security program and IT policies.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Managers/Supervisors are employees assigned to assist the ISD in the protection of information resources.</w:t>
      </w:r>
    </w:p>
    <w:p w:rsidR="00000000" w:rsidDel="00000000" w:rsidP="00000000" w:rsidRDefault="00000000" w:rsidRPr="00000000" w14:paraId="0000004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4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-2120899</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-2120899</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Office Director or Bureau Commissioner for appropriate action.</w:t>
      </w:r>
    </w:p>
    <w:p w:rsidR="00000000" w:rsidDel="00000000" w:rsidP="00000000" w:rsidRDefault="00000000" w:rsidRPr="00000000" w14:paraId="0000005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Director or the Branch Manager, instances of abuse or misconduct, depending on the circumstances, will be referred to either the MIS Supervisor or the Human Resource (HR) Office for further investigation.</w:t>
      </w:r>
    </w:p>
    <w:p w:rsidR="00000000" w:rsidDel="00000000" w:rsidP="00000000" w:rsidRDefault="00000000" w:rsidRPr="00000000" w14:paraId="0000005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Guide; or (2) criminal prosecution.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Archive – (1) A long-term storage media, often on magnetic tape, for backup copies of files or files that are no longer in active use. (2) To move data to a less accessible or less expensive storage media or method.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Backup – To copy files from one storage area, especially a hard disk, to another to prevent their loss in case of a disk failure.</w:t>
      </w:r>
    </w:p>
    <w:p w:rsidR="00000000" w:rsidDel="00000000" w:rsidP="00000000" w:rsidRDefault="00000000" w:rsidRPr="00000000" w14:paraId="0000005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and the person responsible for all information resources within the SAMULCO.</w:t>
      </w:r>
    </w:p>
    <w:p w:rsidR="00000000" w:rsidDel="00000000" w:rsidP="00000000" w:rsidRDefault="00000000" w:rsidRPr="00000000" w14:paraId="0000006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Critical Business Data – Data that must be backed up frequently because of its importance to the IT system.</w:t>
      </w:r>
    </w:p>
    <w:p w:rsidR="00000000" w:rsidDel="00000000" w:rsidP="00000000" w:rsidRDefault="00000000" w:rsidRPr="00000000" w14:paraId="0000006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Disaster – Any event that makes an organization unable to provide critical business functions for a pre-determined period of time. This may include: any occurrence or imminent threat of widespread or sever damade, injury, or loss of life or property resulting from a natural, technological, and/or national security incident, (ex: fire, vandalism, natural disaster, or system failure).</w:t>
      </w:r>
    </w:p>
    <w:p w:rsidR="00000000" w:rsidDel="00000000" w:rsidP="00000000" w:rsidRDefault="00000000" w:rsidRPr="00000000" w14:paraId="0000006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Disaster Recovery Plan – A plan that applies to major, usually catastrophic, events that deny access to the normal facility for an extended period. This IT focused plan is designed to restore operability of the target system, application, or computer facility at an alternate site after an emergency.</w:t>
      </w:r>
    </w:p>
    <w:p w:rsidR="00000000" w:rsidDel="00000000" w:rsidP="00000000" w:rsidRDefault="00000000" w:rsidRPr="00000000" w14:paraId="0000006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6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 – A collection of manual and automated components, each managing a specific data set or information resource.</w:t>
      </w:r>
    </w:p>
    <w:p w:rsidR="00000000" w:rsidDel="00000000" w:rsidP="00000000" w:rsidRDefault="00000000" w:rsidRPr="00000000" w14:paraId="0000006A">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-2082799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-2082799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Staff – This group provides first and second level support to all computer and network users in the SAMULCO field offices.</w:t>
      </w:r>
    </w:p>
    <w:p w:rsidR="00000000" w:rsidDel="00000000" w:rsidP="00000000" w:rsidRDefault="00000000" w:rsidRPr="00000000" w14:paraId="0000006C">
      <w:pPr>
        <w:pageBreakBefore w:val="0"/>
        <w:ind w:left="1260" w:hanging="5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General Manager for Administration and provides the leadership, innovation, and services needed to achieve efficient and effective technology solution to meet the goals of the SAMULCO.</w:t>
      </w:r>
    </w:p>
    <w:p w:rsidR="00000000" w:rsidDel="00000000" w:rsidP="00000000" w:rsidRDefault="00000000" w:rsidRPr="00000000" w14:paraId="0000006E">
      <w:pPr>
        <w:pageBreakBefore w:val="0"/>
        <w:ind w:left="1260" w:hanging="5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F">
      <w:pPr>
        <w:pageBreakBefore w:val="0"/>
        <w:ind w:left="0" w:firstLine="0"/>
        <w:jc w:val="both"/>
        <w:rPr>
          <w:rFonts w:ascii="Verdana" w:cs="Verdana" w:eastAsia="Verdana" w:hAnsi="Verdana"/>
          <w:sz w:val="20"/>
          <w:szCs w:val="20"/>
        </w:rPr>
      </w:pPr>
      <w:r w:rsidDel="00000000" w:rsidR="00000000" w:rsidRPr="00000000">
        <w:rPr>
          <w:rtl w:val="0"/>
        </w:rPr>
      </w:r>
    </w:p>
    <w:sectPr>
      <w:headerReference r:id="rId7" w:type="default"/>
      <w:footerReference r:id="rId8" w:type="default"/>
      <w:pgSz w:h="15840" w:w="12240" w:orient="portrait"/>
      <w:pgMar w:bottom="720" w:top="1890" w:left="153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
              <a:graphic>
                <a:graphicData uri="http://schemas.microsoft.com/office/word/2010/wordprocessingShape">
                  <wps:wsp>
                    <wps:cNvSpPr/>
                    <wps:cNvPr id="4" name="Shape 4"/>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
              <a:graphic>
                <a:graphicData uri="http://schemas.microsoft.com/office/word/2010/wordprocessingShape">
                  <wps:wsp>
                    <wps:cNvSpPr/>
                    <wps:cNvPr id="10" name="Shape 10"/>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
              <a:graphic>
                <a:graphicData uri="http://schemas.microsoft.com/office/word/2010/wordprocessingShape">
                  <wps:wsp>
                    <wps:cNvSpPr/>
                    <wps:cNvPr id="6" name="Shape 6"/>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40100" cy="473075"/>
              <wp:effectExtent b="0" l="0" r="0" t="0"/>
              <wp:wrapNone/>
              <wp:docPr id="2" name=""/>
              <a:graphic>
                <a:graphicData uri="http://schemas.microsoft.com/office/word/2010/wordprocessingShape">
                  <wps:wsp>
                    <wps:cNvSpPr/>
                    <wps:cNvPr id="3" name="Shape 3"/>
                    <wps:spPr>
                      <a:xfrm>
                        <a:off x="3688650" y="3556163"/>
                        <a:ext cx="33147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Disaster Recovery Plan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340100" cy="473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3401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482600</wp:posOffset>
              </wp:positionV>
              <wp:extent cx="1978025" cy="473075"/>
              <wp:effectExtent b="0" l="0" r="0" t="0"/>
              <wp:wrapNone/>
              <wp:docPr id="4" name=""/>
              <a:graphic>
                <a:graphicData uri="http://schemas.microsoft.com/office/word/2010/wordprocessingShape">
                  <wps:wsp>
                    <wps:cNvSpPr/>
                    <wps:cNvPr id="5" name="Shape 5"/>
                    <wps:spPr>
                      <a:xfrm>
                        <a:off x="4369688" y="3556163"/>
                        <a:ext cx="195262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482600</wp:posOffset>
              </wp:positionV>
              <wp:extent cx="1978025"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780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
              <a:graphic>
                <a:graphicData uri="http://schemas.microsoft.com/office/word/2010/wordprocessingShape">
                  <wps:wsp>
                    <wps:cNvSpPr/>
                    <wps:cNvPr id="8" name="Shape 8"/>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5419725</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