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bookmarkStart w:id="21" w:name="start"/>
    <w:p>
      <w:pPr>
        <w:pStyle w:val="berschrift1"/>
      </w:pPr>
      <w:r>
        <w:t xml:space="preserve">Start</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p>
    <w:p>
      <w:pPr>
        <w:pStyle w:val="Textkrper"/>
      </w:pPr>
      <w:r>
        <w:t xml:space="preserve">Open Research: Data and code are permanently available on Zenodo under:</w:t>
      </w:r>
      <w:r>
        <w:t xml:space="preserve"> </w:t>
      </w:r>
      <w:r>
        <w:t xml:space="preserve">.</w:t>
      </w:r>
    </w:p>
    <w:p>
      <w:pPr>
        <w:pStyle w:val="Textkrper"/>
      </w:pPr>
      <w:r>
        <w:rPr>
          <w:bCs/>
          <w:b/>
        </w:rPr>
        <w:t xml:space="preserve">Max 8000 words</w:t>
      </w:r>
    </w:p>
    <w:p>
      <w:r>
        <w:br w:type="page"/>
      </w:r>
    </w:p>
    <w:bookmarkEnd w:id="21"/>
    <w:bookmarkStart w:id="22" w:name="abstract-max-300-words"/>
    <w:p>
      <w:pPr>
        <w:pStyle w:val="berschrift1"/>
      </w:pPr>
      <w:r>
        <w:t xml:space="preserve">Abstract (max 300 words)</w:t>
      </w:r>
    </w:p>
    <w:bookmarkEnd w:id="22"/>
    <w:bookmarkStart w:id="23" w:name="keywords"/>
    <w:p>
      <w:pPr>
        <w:pStyle w:val="berschrift1"/>
      </w:pPr>
      <w:r>
        <w:t xml:space="preserve">Keywords</w:t>
      </w:r>
    </w:p>
    <w:p>
      <w:pPr>
        <w:pStyle w:val="FirstParagraph"/>
      </w:pPr>
      <w:r>
        <w:t xml:space="preserve">dike grassland</w:t>
      </w:r>
    </w:p>
    <w:p>
      <w:pPr>
        <w:pStyle w:val="Textkrper"/>
      </w:pPr>
      <w:r>
        <w:t xml:space="preserve">embankment</w:t>
      </w:r>
    </w:p>
    <w:p>
      <w:pPr>
        <w:pStyle w:val="Textkrper"/>
      </w:pPr>
      <w:r>
        <w:t xml:space="preserve">species composition</w:t>
      </w:r>
    </w:p>
    <w:p>
      <w:pPr>
        <w:pStyle w:val="Textkrper"/>
      </w:pPr>
      <w:r>
        <w:t xml:space="preserve">environmental filter</w:t>
      </w:r>
    </w:p>
    <w:p>
      <w:r>
        <w:br w:type="page"/>
      </w:r>
    </w:p>
    <w:bookmarkEnd w:id="23"/>
    <w:bookmarkStart w:id="24" w:name="introduction"/>
    <w:p>
      <w:pPr>
        <w:pStyle w:val="berschrift1"/>
      </w:pP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close is the vegetation to the reference state?</w:t>
      </w:r>
    </w:p>
    <w:p>
      <w:pPr>
        <w:numPr>
          <w:ilvl w:val="0"/>
          <w:numId w:val="1002"/>
        </w:numPr>
      </w:pPr>
      <w:r>
        <w:t xml:space="preserve">How strong differs the Favourable Conservation Status (FCS) among the seed mixture-substrate combinations?</w:t>
      </w:r>
    </w:p>
    <w:p>
      <w:pPr>
        <w:numPr>
          <w:ilvl w:val="0"/>
          <w:numId w:val="1002"/>
        </w:numPr>
      </w:pPr>
      <w:r>
        <w:t xml:space="preserve">How strong differs the persistence of the sown species among the seed mixture-substrate combinations?</w:t>
      </w:r>
    </w:p>
    <w:p>
      <w:r>
        <w:br w:type="page"/>
      </w:r>
    </w:p>
    <w:bookmarkEnd w:id="24"/>
    <w:bookmarkStart w:id="27" w:name="material-methods"/>
    <w:p>
      <w:pPr>
        <w:pStyle w:val="berschrift1"/>
      </w:pPr>
      <w:r>
        <w:t xml:space="preserve">Material &amp; Methods</w:t>
      </w:r>
    </w:p>
    <w:bookmarkStart w:id="25" w:name="experimental-design"/>
    <w:p>
      <w:pPr>
        <w:pStyle w:val="berschrift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hyperlink w:anchor="figure-1">
        <w:r xmlns:w14="http://schemas.microsoft.com/office/word/2010/wordml">
          <w:rPr/>
          <w:fldChar w:fldCharType="begin" w:dirty="true"/>
        </w:r>
        <w:r xmlns:w14="http://schemas.microsoft.com/office/word/2010/wordml">
          <w:rPr/>
          <w:instrText xml:space="preserve" w:dirty="true"> REF figure-1 \h</w:instrText>
        </w:r>
        <w:r xmlns:w14="http://schemas.microsoft.com/office/word/2010/wordml">
          <w:rPr/>
          <w:fldChar w:fldCharType="end" w:dirty="true"/>
        </w:r>
      </w:hyperlink>
      <w:r>
        <w:t xml:space="preserve">), 314 m above sea level (asl); WGS84 (lat/lon), 48.83895, 12.88412). The climate is temperate-suboceanic with a mean annual temperature of 8.4 °C and precipitation of 984 mm</w:t>
      </w:r>
      <w:r>
        <w:t xml:space="preserve"> </w:t>
      </w:r>
      <w:r>
        <w:t xml:space="preserve">(Deutscher Wetterdienst 2021)</w:t>
      </w:r>
      <w:r>
        <w:t xml:space="preserve">. During the study, three exceptionally dry years (2018–2020) occurred</w:t>
      </w:r>
      <w:r>
        <w:t xml:space="preserve"> </w:t>
      </w:r>
      <w:r>
        <w:t xml:space="preserve">(Climate Data Center of the German Meteorological Service 2022a; Climate Data Center of the German Meteorological Service 2022b)</w:t>
      </w:r>
      <w:r>
        <w:t xml:space="preserve">, and three minor floods which did not reach the plots</w:t>
      </w:r>
      <w:r>
        <w:t xml:space="preserve"> </w:t>
      </w:r>
      <w:r>
        <w:t xml:space="preserve">Bayerisches Landesamt für Umwelt (2021b)</w:t>
      </w:r>
      <w:r>
        <w:t xml:space="preserve"> </w:t>
      </w:r>
      <w:r>
        <w:t xml:space="preserve">(Table</w:t>
      </w:r>
      <w:r>
        <w:t xml:space="preserve"> </w:t>
      </w:r>
      <w:hyperlink w:anchor="table-s1">
        <w:r xmlns:w14="http://schemas.microsoft.com/office/word/2010/wordml">
          <w:rPr/>
          <w:fldChar w:fldCharType="begin" w:dirty="true"/>
        </w:r>
        <w:r xmlns:w14="http://schemas.microsoft.com/office/word/2010/wordml">
          <w:rPr/>
          <w:instrText xml:space="preserve" w:dirty="true"> REF table-s1 \h</w:instrText>
        </w:r>
        <w:r xmlns:w14="http://schemas.microsoft.com/office/word/2010/wordml">
          <w:rPr/>
          <w:fldChar w:fldCharType="end" w:dirty="true"/>
        </w:r>
      </w:hyperlink>
      <w:r>
        <w:t xml:space="preserve">). Regional sand (0–4 mm) was used to lean the substrate and the soil was taken from the dike</w:t>
      </w:r>
      <w:r>
        <w:t xml:space="preserve"> </w:t>
      </w:r>
      <w:r>
        <w:t xml:space="preserve"> </w:t>
      </w:r>
      <w:r>
        <w:t xml:space="preserve">and a with an excavator the substrates were mixed</w:t>
      </w:r>
      <w:r>
        <w:t xml:space="preserve"> </w:t>
      </w:r>
      <w:r>
        <w:t xml:space="preserve"> </w:t>
      </w:r>
      <w:r>
        <w:t xml:space="preserve">and the plots prepared. The target vegetation were lowland hay meadows (Arrhenatherion elatioris, CM01A) and calcareous grassland (Cirsio-Brachypodion pinnati, DA01B code of the EuroVegChecklist,</w:t>
      </w:r>
      <w:r>
        <w:t xml:space="preserve"> </w:t>
      </w:r>
      <w:r>
        <w:t xml:space="preserve">Mucina et al. (2016)</w:t>
      </w:r>
      <w:r>
        <w:t xml:space="preserve"> </w:t>
      </w:r>
      <w:r>
        <w:t xml:space="preserve">). The species pool of hay meadows and calcareous grasslands consisted of 55 and 58 species</w:t>
      </w:r>
      <w:r>
        <w:t xml:space="preserve"> </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hyperlink w:anchor="table-2">
        <w:r xmlns:w14="http://schemas.microsoft.com/office/word/2010/wordml">
          <w:rPr/>
          <w:fldChar w:fldCharType="begin" w:dirty="true"/>
        </w:r>
        <w:r xmlns:w14="http://schemas.microsoft.com/office/word/2010/wordml">
          <w:rPr/>
          <w:instrText xml:space="preserve" w:dirty="true"> REF table-2 \h</w:instrText>
        </w:r>
        <w:r xmlns:w14="http://schemas.microsoft.com/office/word/2010/wordml">
          <w:rPr/>
          <w:fldChar w:fldCharType="end" w:dirty="true"/>
        </w:r>
      </w:hyperlink>
      <w:r>
        <w:t xml:space="preserve">)</w:t>
      </w:r>
      <w:r>
        <w:t xml:space="preserve">. The community-weighted means (CWM) of functional traits differed between the seed mixture types (Table</w:t>
      </w:r>
      <w:r>
        <w:t xml:space="preserve"> </w:t>
      </w:r>
      <w:hyperlink w:anchor="table-3">
        <w:r xmlns:w14="http://schemas.microsoft.com/office/word/2010/wordml">
          <w:rPr/>
          <w:fldChar w:fldCharType="begin" w:dirty="true"/>
        </w:r>
        <w:r xmlns:w14="http://schemas.microsoft.com/office/word/2010/wordml">
          <w:rPr/>
          <w:instrText xml:space="preserve" w:dirty="true"> REF table-3 \h</w:instrText>
        </w:r>
        <w:r xmlns:w14="http://schemas.microsoft.com/office/word/2010/wordml">
          <w:rPr/>
          <w:fldChar w:fldCharType="end" w:dirty="true"/>
        </w:r>
      </w:hyperlink>
      <w:r>
        <w:t xml:space="preserve">)</w:t>
      </w:r>
      <w:r>
        <w:t xml:space="preserve"> </w:t>
      </w:r>
      <w:r>
        <w:t xml:space="preserve">.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Textkrper"/>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hyperlink w:anchor="figure-1">
        <w:r xmlns:w14="http://schemas.microsoft.com/office/word/2010/wordml">
          <w:rPr/>
          <w:fldChar w:fldCharType="begin" w:dirty="true"/>
        </w:r>
        <w:r xmlns:w14="http://schemas.microsoft.com/office/word/2010/wordml">
          <w:rPr/>
          <w:instrText xml:space="preserve" w:dirty="true"> REF figure-1 \h</w:instrText>
        </w:r>
        <w:r xmlns:w14="http://schemas.microsoft.com/office/word/2010/wordml">
          <w:rPr/>
          <w:fldChar w:fldCharType="end" w:dirty="true"/>
        </w:r>
      </w:hyperlink>
      <w:r>
        <w:t xml:space="preserve">). The split plot was cuased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hyperlink w:anchor="table-1">
        <w:r xmlns:w14="http://schemas.microsoft.com/office/word/2010/wordml">
          <w:rPr/>
          <w:fldChar w:fldCharType="begin" w:dirty="true"/>
        </w:r>
        <w:r xmlns:w14="http://schemas.microsoft.com/office/word/2010/wordml">
          <w:rPr/>
          <w:instrText xml:space="preserve" w:dirty="true"> REF table-1 \h</w:instrText>
        </w:r>
        <w:r xmlns:w14="http://schemas.microsoft.com/office/word/2010/wordml">
          <w:rPr/>
          <w:fldChar w:fldCharType="end" w:dirty="true"/>
        </w:r>
      </w:hyperlink>
      <w:r>
        <w:t xml:space="preserve">). The two seed mixture types were tested with two seeding densities (4 vs. 8 g m^-2 ). The vegetation was surveyed in June or July 2018–2021</w:t>
      </w:r>
      <w:r>
        <w:t xml:space="preserve"> </w:t>
      </w:r>
      <w:r>
        <w:t xml:space="preserve">(Braun-Blanquet 1964)</w:t>
      </w:r>
      <w:r>
        <w:t xml:space="preserve">. Establishment rates of species</w:t>
      </w:r>
    </w:p>
    <w:bookmarkEnd w:id="25"/>
    <w:bookmarkStart w:id="26" w:name="statistical-analyses"/>
    <w:p>
      <w:pPr>
        <w:pStyle w:val="berschrift2"/>
      </w:pPr>
      <w:r>
        <w:t xml:space="preserve">Statistical analyses</w:t>
      </w:r>
    </w:p>
    <w:p>
      <w:pPr>
        <w:pStyle w:val="FirstParagraph"/>
      </w:pPr>
      <w:r>
        <w:t xml:space="preserve">We performed all analyses in R [Version 4.2.2;</w:t>
      </w:r>
      <w:r>
        <w:t xml:space="preserve"> </w:t>
      </w:r>
      <w:r>
        <w:t xml:space="preserve">R Core Team (2022)</w:t>
      </w:r>
      <w:r>
        <w:t xml:space="preserve">], with the functions</w:t>
      </w:r>
      <w:r>
        <w:t xml:space="preserve"> </w:t>
      </w:r>
      <w:r>
        <w:t xml:space="preserve">‘</w:t>
      </w:r>
      <w:r>
        <w:t xml:space="preserve">blme</w:t>
      </w:r>
      <w:r>
        <w:t xml:space="preserve">’</w:t>
      </w:r>
      <w:r>
        <w:t xml:space="preserve"> </w:t>
      </w:r>
      <w:r>
        <w:t xml:space="preserve">(based on</w:t>
      </w:r>
      <w:r>
        <w:t xml:space="preserve"> </w:t>
      </w:r>
      <w:r>
        <w:t xml:space="preserve">‘</w:t>
      </w:r>
      <w:r>
        <w:t xml:space="preserve">lme4</w:t>
      </w:r>
      <w:r>
        <w:t xml:space="preserve">’</w:t>
      </w:r>
      <w:r>
        <w:t xml:space="preserve">) for BLMM</w:t>
      </w:r>
      <w:r>
        <w:t xml:space="preserve"> </w:t>
      </w:r>
      <w:r>
        <w:t xml:space="preserve">Chung et al. (2013)</w:t>
      </w:r>
      <w:r>
        <w:t xml:space="preserve">; and</w:t>
      </w:r>
      <w:r>
        <w:t xml:space="preserve"> </w:t>
      </w:r>
      <w:r>
        <w:t xml:space="preserve">‘</w:t>
      </w:r>
      <w:r>
        <w:t xml:space="preserve">DHARMa</w:t>
      </w:r>
      <w:r>
        <w:t xml:space="preserve">’</w:t>
      </w:r>
      <w:r>
        <w:t xml:space="preserve"> </w:t>
      </w:r>
      <w:r>
        <w:t xml:space="preserve">for model evaluation</w:t>
      </w:r>
      <w:r>
        <w:t xml:space="preserve"> </w:t>
      </w:r>
      <w:r>
        <w:t xml:space="preserve">(Hartig 2022)</w:t>
      </w:r>
      <w:r>
        <w:t xml:space="preserve">.</w:t>
      </w:r>
    </w:p>
    <w:p>
      <w:pPr>
        <w:pStyle w:val="Textkrper"/>
      </w:pPr>
      <w:r>
        <w:t xml:space="preserve">We calculated Bayesian linear mixed-effects models (BLMM) with the random effect</w:t>
      </w:r>
      <w:r>
        <w:t xml:space="preserve"> </w:t>
      </w:r>
      <w:r>
        <w:t xml:space="preserve">‘</w:t>
      </w:r>
      <w:r>
        <w:t xml:space="preserve">plot</w:t>
      </w:r>
      <w:r>
        <w:t xml:space="preserve">’</w:t>
      </w:r>
      <w:r>
        <w:t xml:space="preserve"> </w:t>
      </w:r>
      <w:r>
        <w:t xml:space="preserve">and used the restricted maximum-likelihood estimation (REML), the optimiser Nelder-Mead and, for the random effect, the Wishart prior. To identify the final model, we first reviewed the residual diagnostics of the candidate models and subsequently compared the remaining models using the Akaike information criterion adjusted for a small sample size (AICc) and chose the most parsimonious model (Appendix A4). Finally, we calculated the marginal and conditional coefficients of determination (R²m, R²c) and the 95% confidence intervals of the response variables.</w:t>
      </w:r>
    </w:p>
    <w:p>
      <w:r>
        <w:br w:type="page"/>
      </w:r>
    </w:p>
    <w:bookmarkEnd w:id="26"/>
    <w:bookmarkEnd w:id="27"/>
    <w:bookmarkStart w:id="28" w:name="results"/>
    <w:p>
      <w:pPr>
        <w:pStyle w:val="berschrift1"/>
      </w:pPr>
      <w:r>
        <w:t xml:space="preserve">Results</w:t>
      </w:r>
    </w:p>
    <w:p>
      <w:r>
        <w:br w:type="page"/>
      </w:r>
    </w:p>
    <w:bookmarkEnd w:id="28"/>
    <w:bookmarkStart w:id="29" w:name="discussion"/>
    <w:p>
      <w:pPr>
        <w:pStyle w:val="berschrift1"/>
      </w:pPr>
      <w:r>
        <w:t xml:space="preserve">Discussion</w:t>
      </w:r>
    </w:p>
    <w:p>
      <w:pPr>
        <w:pStyle w:val="FirstParagraph"/>
      </w:pPr>
      <w:r>
        <w:t xml:space="preserve">Text</w:t>
      </w:r>
    </w:p>
    <w:p>
      <w:r>
        <w:br w:type="page"/>
      </w:r>
    </w:p>
    <w:bookmarkEnd w:id="29"/>
    <w:bookmarkStart w:id="30" w:name="conclusions"/>
    <w:p>
      <w:pPr>
        <w:pStyle w:val="berschrift1"/>
      </w:pPr>
      <w:r>
        <w:t xml:space="preserve">Conclusions</w:t>
      </w:r>
    </w:p>
    <w:p>
      <w:pPr>
        <w:pStyle w:val="FirstParagraph"/>
      </w:pPr>
      <w:r>
        <w:t xml:space="preserve">Text</w:t>
      </w:r>
    </w:p>
    <w:p>
      <w:r>
        <w:br w:type="page"/>
      </w:r>
    </w:p>
    <w:bookmarkEnd w:id="30"/>
    <w:bookmarkStart w:id="31" w:name="acknowledgements"/>
    <w:p>
      <w:pPr>
        <w:pStyle w:val="berschrift1"/>
      </w:pPr>
      <w:r>
        <w:t xml:space="preserve">Acknowledgements</w:t>
      </w:r>
    </w:p>
    <w:p>
      <w:pPr>
        <w:pStyle w:val="FirstParagraph"/>
      </w:pPr>
      <w:r>
        <w:t xml:space="preserve">We would like to thank our project partners Dr. Markus Fischer, Frank Schuster, and Christoph Schwahn (WIGES GmbH) and Klaus Rachl and Stefan Radlmair (Regierung von Niederbayern) for numerous discussions on restoration and management of dike grasslands. Field work was supported by Clemens Berger and Uwe Kleber-Lerchbaumer (Wasserwirtschaftsamt Deggendorf). We thank Holger Paetsch, Simon Reith, Anna Ritter, Jakob Strak, Leonardo H. Teixeira, and Linda Weggler for assisting with the field surveys or soil analyses in 2018–2020. The German Federal Environmental Foundation (DBU) supported MB with a doctoral scholarship.</w:t>
      </w:r>
    </w:p>
    <w:bookmarkEnd w:id="31"/>
    <w:bookmarkStart w:id="32" w:name="author-contribution"/>
    <w:p>
      <w:pPr>
        <w:pStyle w:val="berschrift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2"/>
    <w:bookmarkStart w:id="34" w:name="open-research"/>
    <w:p>
      <w:pPr>
        <w:pStyle w:val="berschrift1"/>
      </w:pPr>
      <w:r>
        <w:t xml:space="preserve">Open research</w:t>
      </w:r>
    </w:p>
    <w:p>
      <w:pPr>
        <w:pStyle w:val="FirstParagraph"/>
      </w:pPr>
      <w:r>
        <w:t xml:space="preserve">Data and code is available on Zenodo:</w:t>
      </w:r>
      <w:r>
        <w:t xml:space="preserve"> </w:t>
      </w:r>
    </w:p>
    <w:p>
      <w:pPr>
        <w:pStyle w:val="Textkrper"/>
      </w:pPr>
      <w:r>
        <w:t xml:space="preserve">Model evaluation is stored on GitHub:</w:t>
      </w:r>
      <w:r>
        <w:t xml:space="preserve"> </w:t>
      </w:r>
      <w:hyperlink r:id="rId33">
        <w:r>
          <w:rPr>
            <w:rStyle w:val="Hyperlink"/>
          </w:rPr>
          <w:t xml:space="preserve">github.com/markus1bauer/2023_danube_dike_experiment</w:t>
        </w:r>
      </w:hyperlink>
    </w:p>
    <w:bookmarkEnd w:id="34"/>
    <w:bookmarkStart w:id="35" w:name="funding"/>
    <w:p>
      <w:pPr>
        <w:pStyle w:val="berschrift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p>
    <w:bookmarkEnd w:id="35"/>
    <w:bookmarkStart w:id="57" w:name="references"/>
    <w:p>
      <w:pPr>
        <w:pStyle w:val="berschrift1"/>
      </w:pPr>
      <w:r>
        <w:t xml:space="preserve">References</w:t>
      </w:r>
    </w:p>
    <w:bookmarkStart w:id="56" w:name="refs"/>
    <w:bookmarkStart w:id="37" w:name="ref-lme4"/>
    <w:p>
      <w:pPr>
        <w:pStyle w:val="Literaturverzeichnis"/>
      </w:pPr>
      <w:r>
        <w:t xml:space="preserve">Bates, D., Machler, M., Bolker, B., &amp; Walker, S. 2015.</w:t>
      </w:r>
      <w:r>
        <w:t xml:space="preserve"> </w:t>
      </w:r>
      <w:hyperlink r:id="rId36">
        <w:r>
          <w:rPr>
            <w:rStyle w:val="Hyperlink"/>
          </w:rPr>
          <w:t xml:space="preserve">Fitting linear mixed-effects models using</w:t>
        </w:r>
        <w:r>
          <w:rPr>
            <w:rStyle w:val="Hyperlink"/>
          </w:rPr>
          <w:t xml:space="preserve"> </w:t>
        </w:r>
        <w:r>
          <w:rPr>
            <w:rStyle w:val="Hyperlink"/>
          </w:rPr>
          <w:t xml:space="preserve">lme4</w:t>
        </w:r>
      </w:hyperlink>
      <w:r>
        <w:t xml:space="preserve">. 67:</w:t>
      </w:r>
    </w:p>
    <w:bookmarkEnd w:id="37"/>
    <w:bookmarkStart w:id="39" w:name="ref-lfu2021waterlevel"/>
    <w:p>
      <w:pPr>
        <w:pStyle w:val="Literaturverzeichnis"/>
      </w:pPr>
      <w:r>
        <w:t xml:space="preserve">Bayerisches Landesamt für Umwelt. 2021a.</w:t>
      </w:r>
      <w:r>
        <w:t xml:space="preserve"> </w:t>
      </w:r>
      <w:hyperlink r:id="rId38">
        <w:r>
          <w:rPr>
            <w:rStyle w:val="Hyperlink"/>
          </w:rPr>
          <w:t xml:space="preserve">Discharge pfelling / donau</w:t>
        </w:r>
      </w:hyperlink>
      <w:r>
        <w:t xml:space="preserve">.</w:t>
      </w:r>
    </w:p>
    <w:bookmarkEnd w:id="39"/>
    <w:bookmarkStart w:id="40" w:name="ref-lfu2021discharge"/>
    <w:p>
      <w:pPr>
        <w:pStyle w:val="Literaturverzeichnis"/>
      </w:pPr>
      <w:r>
        <w:t xml:space="preserve">Bayerisches Landesamt für Umwelt. 2021b.</w:t>
      </w:r>
      <w:r>
        <w:t xml:space="preserve"> </w:t>
      </w:r>
      <w:hyperlink r:id="rId38">
        <w:r>
          <w:rPr>
            <w:rStyle w:val="Hyperlink"/>
          </w:rPr>
          <w:t xml:space="preserve">Discharge pfelling / donau</w:t>
        </w:r>
      </w:hyperlink>
      <w:r>
        <w:t xml:space="preserve">.</w:t>
      </w:r>
    </w:p>
    <w:bookmarkEnd w:id="40"/>
    <w:bookmarkStart w:id="42" w:name="ref-BraunBlanquet.1964"/>
    <w:p>
      <w:pPr>
        <w:pStyle w:val="Literaturverzeichnis"/>
      </w:pPr>
      <w:r>
        <w:t xml:space="preserve">Braun-Blanquet, J. 1964.</w:t>
      </w:r>
      <w:r>
        <w:t xml:space="preserve"> </w:t>
      </w:r>
      <w:hyperlink r:id="rId41">
        <w:r>
          <w:rPr>
            <w:rStyle w:val="Hyperlink"/>
            <w:iCs/>
            <w:i/>
          </w:rPr>
          <w:t xml:space="preserve">Pflanzensoziologie: Grundzüge der vegetationskunde</w:t>
        </w:r>
      </w:hyperlink>
      <w:r>
        <w:t xml:space="preserve">. Springer, Wien; New York.</w:t>
      </w:r>
    </w:p>
    <w:bookmarkEnd w:id="42"/>
    <w:bookmarkStart w:id="44" w:name="ref-chung2013"/>
    <w:p>
      <w:pPr>
        <w:pStyle w:val="Literaturverzeichnis"/>
      </w:pPr>
      <w:r>
        <w:t xml:space="preserve">Chung, Y., Rabe-Hesketh, S., Dorie, V., Gelman, A., &amp; Liu, J. 2013.</w:t>
      </w:r>
      <w:r>
        <w:t xml:space="preserve"> </w:t>
      </w:r>
      <w:hyperlink r:id="rId43">
        <w:r>
          <w:rPr>
            <w:rStyle w:val="Hyperlink"/>
          </w:rPr>
          <w:t xml:space="preserve">A Nondegenerate Penalized Likelihood Estimator for Variance Parameters in Multilevel Models</w:t>
        </w:r>
      </w:hyperlink>
      <w:r>
        <w:t xml:space="preserve">.</w:t>
      </w:r>
      <w:r>
        <w:t xml:space="preserve"> </w:t>
      </w:r>
      <w:r>
        <w:rPr>
          <w:iCs/>
          <w:i/>
        </w:rPr>
        <w:t xml:space="preserve">Psychometrika</w:t>
      </w:r>
      <w:r>
        <w:t xml:space="preserve"> </w:t>
      </w:r>
      <w:r>
        <w:t xml:space="preserve">78: 685–709.</w:t>
      </w:r>
    </w:p>
    <w:bookmarkEnd w:id="44"/>
    <w:bookmarkStart w:id="46" w:name="ref-cdc2022temp"/>
    <w:p>
      <w:pPr>
        <w:pStyle w:val="Literaturverzeichnis"/>
      </w:pPr>
      <w:r>
        <w:t xml:space="preserve">Climate Data Center of the German Meteorological Service. 2022a.</w:t>
      </w:r>
      <w:r>
        <w:t xml:space="preserve"> </w:t>
      </w:r>
      <w:hyperlink r:id="rId45">
        <w:r>
          <w:rPr>
            <w:rStyle w:val="Hyperlink"/>
          </w:rPr>
          <w:t xml:space="preserve">Annual station observations of air temperature at 2 m above ground in °c for germany. Version v21.3: Station metten</w:t>
        </w:r>
      </w:hyperlink>
      <w:r>
        <w:t xml:space="preserve">.</w:t>
      </w:r>
    </w:p>
    <w:bookmarkEnd w:id="46"/>
    <w:bookmarkStart w:id="47" w:name="ref-cdc2022prec"/>
    <w:p>
      <w:pPr>
        <w:pStyle w:val="Literaturverzeichnis"/>
      </w:pPr>
      <w:r>
        <w:t xml:space="preserve">Climate Data Center of the German Meteorological Service. 2022b.</w:t>
      </w:r>
      <w:r>
        <w:t xml:space="preserve"> </w:t>
      </w:r>
      <w:hyperlink r:id="rId45">
        <w:r>
          <w:rPr>
            <w:rStyle w:val="Hyperlink"/>
          </w:rPr>
          <w:t xml:space="preserve">Annual station observations of precipitation in mm for germany. Version v21.3: Station metten</w:t>
        </w:r>
      </w:hyperlink>
      <w:r>
        <w:t xml:space="preserve">.</w:t>
      </w:r>
    </w:p>
    <w:bookmarkEnd w:id="47"/>
    <w:bookmarkStart w:id="49" w:name="ref-dwd2021"/>
    <w:p>
      <w:pPr>
        <w:pStyle w:val="Literaturverzeichnis"/>
      </w:pPr>
      <w:r>
        <w:t xml:space="preserve">Deutscher Wetterdienst. 2021.</w:t>
      </w:r>
      <w:r>
        <w:t xml:space="preserve"> </w:t>
      </w:r>
      <w:hyperlink r:id="rId48">
        <w:r>
          <w:rPr>
            <w:rStyle w:val="Hyperlink"/>
          </w:rPr>
          <w:t xml:space="preserve">Langjähriges mittel der wetterstation metten 1981-2010</w:t>
        </w:r>
      </w:hyperlink>
      <w:r>
        <w:t xml:space="preserve">.</w:t>
      </w:r>
    </w:p>
    <w:bookmarkEnd w:id="49"/>
    <w:bookmarkStart w:id="51" w:name="ref-DHARMa"/>
    <w:p>
      <w:pPr>
        <w:pStyle w:val="Literaturverzeichnis"/>
      </w:pPr>
      <w:r>
        <w:t xml:space="preserve">Hartig, F. 2022.</w:t>
      </w:r>
      <w:r>
        <w:t xml:space="preserve"> </w:t>
      </w:r>
      <w:hyperlink r:id="rId50">
        <w:r>
          <w:rPr>
            <w:rStyle w:val="Hyperlink"/>
          </w:rPr>
          <w:t xml:space="preserve">DHARMa: Residual diagnostics for hierarchical (multi-level / mixed) regression models</w:t>
        </w:r>
      </w:hyperlink>
      <w:r>
        <w:t xml:space="preserve">.</w:t>
      </w:r>
    </w:p>
    <w:bookmarkEnd w:id="51"/>
    <w:bookmarkStart w:id="53" w:name="ref-mucina2016"/>
    <w:p>
      <w:pPr>
        <w:pStyle w:val="Literaturverzeichnis"/>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52">
        <w:r>
          <w:rPr>
            <w:rStyle w:val="Hyperlink"/>
          </w:rPr>
          <w:t xml:space="preserve">Vegetation of Europe: hierarchical floristic classification system of vascular plant, bryophyte, lichen, and algal communities</w:t>
        </w:r>
      </w:hyperlink>
      <w:r>
        <w:t xml:space="preserve"> </w:t>
      </w:r>
      <w:r>
        <w:t xml:space="preserve">(R. Peet, Ed.).</w:t>
      </w:r>
      <w:r>
        <w:t xml:space="preserve"> </w:t>
      </w:r>
      <w:r>
        <w:rPr>
          <w:iCs/>
          <w:i/>
        </w:rPr>
        <w:t xml:space="preserve">Applied Vegetation Science</w:t>
      </w:r>
      <w:r>
        <w:t xml:space="preserve"> </w:t>
      </w:r>
      <w:r>
        <w:t xml:space="preserve">19: 3–264.</w:t>
      </w:r>
    </w:p>
    <w:bookmarkEnd w:id="53"/>
    <w:bookmarkStart w:id="55" w:name="ref-base"/>
    <w:p>
      <w:pPr>
        <w:pStyle w:val="Literaturverzeichnis"/>
      </w:pPr>
      <w:r>
        <w:t xml:space="preserve">R Core Team. 2022.</w:t>
      </w:r>
      <w:r>
        <w:t xml:space="preserve"> </w:t>
      </w:r>
      <w:hyperlink r:id="rId54">
        <w:r>
          <w:rPr>
            <w:rStyle w:val="Hyperlink"/>
          </w:rPr>
          <w:t xml:space="preserve">R: A language and environment for statistical computing</w:t>
        </w:r>
      </w:hyperlink>
      <w:r>
        <w:t xml:space="preserve">.</w:t>
      </w:r>
    </w:p>
    <w:bookmarkEnd w:id="55"/>
    <w:bookmarkEnd w:id="56"/>
    <w:p>
      <w:r>
        <w:br w:type="page"/>
      </w:r>
    </w:p>
    <w:bookmarkEnd w:id="57"/>
    <w:bookmarkStart w:id="60" w:name="tables"/>
    <w:p>
      <w:pPr>
        <w:pStyle w:val="berschrift1"/>
      </w:pPr>
      <w:r>
        <w:t xml:space="preserve">Tables</w:t>
      </w:r>
    </w:p>
    <w:bookmarkStart w:id="58" w:name="table-1"/>
    <w:p>
      <w:pPr>
        <w:pStyle w:val="berschrift2"/>
      </w:pPr>
      <w:r>
        <w:t xml:space="preserve">Table 1</w:t>
      </w:r>
    </w:p>
    <w:p>
      <w:pPr>
        <w:pStyle w:val="FirstParagraph"/>
      </w:pPr>
      <w:r>
        <w:t xml:space="preserve">Mischprobe aus mehreren Plots. Measured in &lt; 2mm fraction</w:t>
      </w:r>
      <w:r>
        <w:t xml:space="preserve"> </w:t>
      </w:r>
    </w:p>
    <w:tbl xmlns:w14="http://schemas.microsoft.com/office/word/2010/wordml">
      <w:tblPr>
        <w:tblLayout w:type="fixed"/>
        <w:jc w:val="center"/>
        <w:tblLook w:firstRow="1" w:lastRow="0" w:firstColumn="0" w:lastColumn="0" w:noHBand="0" w:noVBand="1"/>
      </w:tblPr>
      <w:tblGrid>
        <w:gridCol w:w="722"/>
        <w:gridCol w:w="953"/>
        <w:gridCol w:w="1024"/>
        <w:gridCol w:w="499"/>
        <w:gridCol w:w="499"/>
        <w:gridCol w:w="499"/>
        <w:gridCol w:w="400"/>
        <w:gridCol w:w="665"/>
        <w:gridCol w:w="757"/>
        <w:gridCol w:w="757"/>
        <w:gridCol w:w="757"/>
        <w:gridCol w:w="439"/>
        <w:gridCol w:w="665"/>
      </w:tblGrid>
      <w:tr>
        <w:trPr>
          <w:trHeight w:val="35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Exposition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Sand admixture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Skeleton (&gt;2 mm)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Silt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Clay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pH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P2O5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K2O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CaCO3</w:t>
            </w:r>
          </w:p>
        </w:tc>
      </w:tr>
      <w:tr>
        <w:trPr>
          <w:trHeight w:val="356"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m3 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cm3 cm−3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mg−1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10"/>
                <w:szCs w:val="10"/>
                <w:color w:val="000000"/>
              </w:rPr>
              <w:t xml:space="preserve">mg mg−1</w:t>
            </w:r>
          </w:p>
        </w:tc>
      </w:tr>
      <w:tr>
        <w:trPr>
          <w:trHeight w:val="33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North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12.1</w:t>
            </w:r>
          </w:p>
        </w:tc>
      </w:tr>
      <w:tr>
        <w:trPr>
          <w:trHeight w:val="3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8.8</w:t>
            </w:r>
          </w:p>
        </w:tc>
      </w:tr>
      <w:tr>
        <w:trPr>
          <w:trHeight w:val="3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5.3</w:t>
            </w:r>
          </w:p>
        </w:tc>
      </w:tr>
      <w:tr>
        <w:trPr>
          <w:trHeight w:val="33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12.5</w:t>
            </w:r>
          </w:p>
        </w:tc>
      </w:tr>
      <w:tr>
        <w:trPr>
          <w:trHeight w:val="3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r>
      <w:tr>
        <w:trPr>
          <w:trHeight w:val="33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7.3</w:t>
            </w:r>
          </w:p>
        </w:tc>
      </w:tr>
      <w:tr>
        <w:trPr>
          <w:trHeight w:val="267"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10"/>
                <w:szCs w:val="10"/>
                <w:color w:val="000000"/>
              </w:rPr>
              <w:t xml:space="preserve"/>
            </w:r>
          </w:p>
        </w:tc>
      </w:tr>
    </w:tbl>
    <w:p>
      <w:r>
        <w:br w:type="page"/>
      </w:r>
    </w:p>
    <w:bookmarkEnd w:id="58"/>
    <w:bookmarkStart w:id="59" w:name="table-2"/>
    <w:p>
      <w:pPr>
        <w:pStyle w:val="berschrift2"/>
      </w:pPr>
      <w:r>
        <w:t xml:space="preserve">Table 2</w:t>
      </w:r>
    </w:p>
    <w:p>
      <w:pPr>
        <w:pStyle w:val="FirstParagraph"/>
      </w:pPr>
      <w:r>
        <w:t xml:space="preserve">Each plot received a individual set of 20 species with some restrictions to the number of species per functional group.</w:t>
      </w:r>
      <w:r>
        <w:t xml:space="preserve"> </w:t>
      </w:r>
    </w:p>
    <w:tbl xmlns:w14="http://schemas.microsoft.com/office/word/2010/wordml">
      <w:tblPr>
        <w:tblLayout w:type="fixed"/>
        <w:jc w:val="center"/>
        <w:tblLook w:firstRow="1" w:lastRow="0" w:firstColumn="0" w:lastColumn="0" w:noHBand="0" w:noVBand="1"/>
      </w:tblPr>
      <w:tblGrid>
        <w:gridCol w:w="2105"/>
        <w:gridCol w:w="1894"/>
        <w:gridCol w:w="1450"/>
        <w:gridCol w:w="1788"/>
        <w:gridCol w:w="1327"/>
        <w:gridCol w:w="1855"/>
      </w:tblGrid>
      <w:tr>
        <w:trPr>
          <w:trHeight w:val="58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Ratio per species</w:t>
            </w:r>
          </w:p>
        </w:tc>
      </w:tr>
      <w:tr>
        <w:trPr>
          <w:trHeight w:val="552"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w:t>
            </w:r>
          </w:p>
        </w:tc>
      </w:tr>
      <w:tr>
        <w:trPr>
          <w:trHeight w:val="59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r>
        <w:trPr>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w:t>
            </w:r>
          </w:p>
        </w:tc>
      </w:tr>
      <w:tr>
        <w:trPr>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1.7</w:t>
            </w:r>
          </w:p>
        </w:tc>
      </w:tr>
      <w:tr>
        <w:trPr>
          <w:trHeight w:val="5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3.3</w:t>
            </w:r>
          </w:p>
        </w:tc>
      </w:tr>
      <w:tr>
        <w:trPr>
          <w:trHeight w:val="592"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5.0</w:t>
            </w:r>
          </w:p>
        </w:tc>
      </w:tr>
    </w:tbl>
    <w:p>
      <w:r>
        <w:br w:type="page"/>
      </w:r>
    </w:p>
    <w:bookmarkEnd w:id="59"/>
    <w:bookmarkEnd w:id="60"/>
    <w:bookmarkStart w:id="67" w:name="figures"/>
    <w:p>
      <w:pPr>
        <w:pStyle w:val="berschrift1"/>
      </w:pPr>
      <w:r>
        <w:t xml:space="preserve">Figures</w:t>
      </w:r>
    </w:p>
    <w:bookmarkStart w:id="61" w:name="figure-1"/>
    <w:p>
      <w:pPr>
        <w:pStyle w:val="berschrift2"/>
      </w:pPr>
      <w:r>
        <w:t xml:space="preserve">Figure 1</w:t>
      </w:r>
    </w:p>
    <w:p>
      <w:pPr>
        <w:jc w:val="center"/>
        <w:pStyle w:val="Standard"/>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cc3c99c-412a-491b-98a4-56a817e722c2" w:name="figure-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cc3c99c-412a-491b-98a4-56a817e722c2"/>
      <w:r>
        <w:rPr>
          <w:rFonts/>
          <w:b w:val="true"/>
        </w:rPr>
        <w:t xml:space="preserve">: </w:t>
      </w:r>
      <w:r>
        <w:t xml:space="preserve">figure-1</w:t>
      </w:r>
    </w:p>
    <w:p>
      <w:r>
        <w:br w:type="page"/>
      </w:r>
    </w:p>
    <w:bookmarkEnd w:id="61"/>
    <w:bookmarkStart w:id="62" w:name="figure-2"/>
    <w:p>
      <w:pPr>
        <w:pStyle w:val="berschrift2"/>
      </w:pPr>
      <w:r>
        <w:t xml:space="preserve">Figure 2</w:t>
      </w:r>
    </w:p>
    <w:p>
      <w:r>
        <w:br w:type="page"/>
      </w:r>
    </w:p>
    <w:bookmarkEnd w:id="62"/>
    <w:bookmarkStart w:id="63" w:name="figure-3"/>
    <w:p>
      <w:pPr>
        <w:pStyle w:val="berschrift2"/>
      </w:pPr>
      <w:r>
        <w:t xml:space="preserve">Figure 3</w:t>
      </w:r>
    </w:p>
    <w:p>
      <w:r>
        <w:br w:type="page"/>
      </w:r>
    </w:p>
    <w:bookmarkEnd w:id="63"/>
    <w:bookmarkStart w:id="64" w:name="figure-4"/>
    <w:p>
      <w:pPr>
        <w:pStyle w:val="berschrift2"/>
      </w:pPr>
      <w:r>
        <w:t xml:space="preserve">Figure 4</w:t>
      </w:r>
    </w:p>
    <w:p>
      <w:r>
        <w:br w:type="page"/>
      </w:r>
    </w:p>
    <w:bookmarkEnd w:id="64"/>
    <w:bookmarkStart w:id="65" w:name="figure-5"/>
    <w:p>
      <w:pPr>
        <w:pStyle w:val="berschrift2"/>
      </w:pPr>
      <w:r>
        <w:t xml:space="preserve">Figure 5</w:t>
      </w:r>
    </w:p>
    <w:p>
      <w:pPr>
        <w:pStyle w:val="FirstParagraph"/>
      </w:pPr>
      <w:r>
        <w:t xml:space="preserve">Fig. 5:</w:t>
      </w:r>
    </w:p>
    <w:p>
      <w:r>
        <w:br w:type="page"/>
      </w:r>
    </w:p>
    <w:bookmarkEnd w:id="65"/>
    <w:bookmarkStart w:id="66" w:name="figure-6"/>
    <w:p>
      <w:pPr>
        <w:pStyle w:val="berschrift2"/>
      </w:pPr>
      <w:r>
        <w:t xml:space="preserve">Figure 6</w:t>
      </w:r>
    </w:p>
    <w:p>
      <w:pPr>
        <w:pStyle w:val="FirstParagraph"/>
      </w:pPr>
      <w:r>
        <w:t xml:space="preserve">Fig. 6:</w:t>
      </w:r>
    </w:p>
    <w:p>
      <w:r>
        <w:br w:type="page"/>
      </w:r>
    </w:p>
    <w:bookmarkEnd w:id="66"/>
    <w:bookmarkEnd w:id="67"/>
    <w:bookmarkStart w:id="72" w:name="supplementary-material"/>
    <w:p>
      <w:pPr>
        <w:pStyle w:val="berschrift1"/>
      </w:pPr>
      <w:r>
        <w:t xml:space="preserve">Supplementary Material</w:t>
      </w:r>
    </w:p>
    <w:bookmarkStart w:id="68" w:name="table-s1"/>
    <w:p>
      <w:pPr>
        <w:pStyle w:val="berschrift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12.918911;</w:t>
      </w:r>
      <w:r>
        <w:t xml:space="preserve"> </w:t>
      </w:r>
      <w:r>
        <w:t xml:space="preserve">Climate Data Center of the German Meteorological Service (2022b)</w:t>
      </w:r>
      <w:r>
        <w:t xml:space="preserve">,</w:t>
      </w:r>
      <w:r>
        <w:t xml:space="preserve"> </w:t>
      </w:r>
      <w:r>
        <w:t xml:space="preserve">Climate Data Center of the German Meteorological Service (2022a)</w:t>
      </w:r>
      <w:r>
        <w:t xml:space="preserve">] and stream gauge Pfelling [ID, 10078000; WGS84, lat/lon, 48.87975, 12.74716;</w:t>
      </w:r>
      <w:r>
        <w:t xml:space="preserve"> </w:t>
      </w:r>
      <w:r>
        <w:t xml:space="preserve">Bayerisches Landesamt für Umwelt (2021b)</w:t>
      </w:r>
      <w:r>
        <w:t xml:space="preserve">]. HQ2 = Highest discharge with a probability of occurrence every second year. HSW = Highest water level for shipping.</w:t>
      </w:r>
    </w:p>
    <w:tbl xmlns:w14="http://schemas.microsoft.com/office/word/2010/wordml">
      <w:tblPr>
        <w:tblLayout w:type="fixed"/>
        <w:jc w:val="center"/>
        <w:tblLook w:firstRow="1" w:lastRow="0" w:firstColumn="0" w:lastColumn="0" w:noHBand="0" w:noVBand="1"/>
      </w:tblPr>
      <w:tblGrid>
        <w:gridCol w:w="2450"/>
        <w:gridCol w:w="850"/>
        <w:gridCol w:w="861"/>
        <w:gridCol w:w="1011"/>
        <w:gridCol w:w="1011"/>
        <w:gridCol w:w="1011"/>
        <w:gridCol w:w="1011"/>
        <w:gridCol w:w="2049"/>
      </w:tblGrid>
      <w:tr>
        <w:trPr>
          <w:trHeight w:val="58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Environmental 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true"/>
                <w:u w:val="none"/>
                <w:sz w:val="20"/>
                <w:szCs w:val="20"/>
                <w:color w:val="000000"/>
              </w:rPr>
              <w:t xml:space="preserve">Long-term average</w:t>
            </w:r>
          </w:p>
        </w:tc>
      </w:tr>
      <w:tr>
        <w:trPr>
          <w:trHeight w:val="58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Temperature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8.4</w:t>
            </w:r>
          </w:p>
        </w:tc>
      </w:tr>
      <w:tr>
        <w:trPr>
          <w:trHeight w:val="59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984.0</w:t>
            </w:r>
          </w:p>
        </w:tc>
      </w:tr>
      <w:tr>
        <w:trPr>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m</w:t>
            </w:r>
            <w:r>
              <w:rPr>
                <w:rFonts w:ascii="Times New Roman" w:hAnsi="Arial" w:eastAsia="Arial" w:cs="Arial"/>
                <w:i w:val="false"/>
                <w:b w:val="false"/>
                <w:u w:val="none"/>
                <w:vertAlign w:val="superscript"/>
                <w:sz w:val="20"/>
                <w:szCs w:val="20"/>
                <w:color w:val="000000"/>
              </w:rPr>
              <w:t xml:space="preserve">3</w:t>
            </w:r>
            <w:r>
              <w:rPr>
                <w:rFonts w:ascii="Times New Roman" w:hAnsi="Arial" w:eastAsia="Arial" w:cs="Arial"/>
                <w:i w:val="false"/>
                <w:b w:val="false"/>
                <w:u w:val="none"/>
                <w:sz w:val="20"/>
                <w:szCs w:val="20"/>
                <w:color w:val="000000"/>
              </w:rPr>
              <w:t xml:space="preserve"> s</w:t>
            </w:r>
            <w:r>
              <w:rPr>
                <w:rFonts w:ascii="Times New Roman" w:hAnsi="Arial" w:eastAsia="Arial" w:cs="Arial"/>
                <w:i w:val="false"/>
                <w:b w:val="false"/>
                <w:u w:val="none"/>
                <w:vertAlign w:val="superscript"/>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1,620.0</w:t>
            </w:r>
          </w:p>
        </w:tc>
      </w:tr>
      <w:tr>
        <w:trPr>
          <w:trHeight w:val="592"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Water level max (HSW)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cm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567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706.0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s New Roman" w:hAnsi="Arial" w:eastAsia="Arial" w:cs="Arial"/>
                <w:i w:val="false"/>
                <w:b w:val="false"/>
                <w:u w:val="none"/>
                <w:sz w:val="20"/>
                <w:szCs w:val="20"/>
                <w:color w:val="000000"/>
              </w:rPr>
              <w:t xml:space="preserve">620.0</w:t>
            </w:r>
          </w:p>
        </w:tc>
      </w:tr>
    </w:tbl>
    <w:p>
      <w:r>
        <w:br w:type="page"/>
      </w:r>
    </w:p>
    <w:bookmarkEnd w:id="68"/>
    <w:bookmarkStart w:id="69" w:name="table-s2"/>
    <w:p>
      <w:pPr>
        <w:pStyle w:val="berschrift2"/>
      </w:pPr>
      <w:r>
        <w:t xml:space="preserve">Table S2</w:t>
      </w:r>
    </w:p>
    <w:p>
      <w:pPr>
        <w:pStyle w:val="FirstParagraph"/>
      </w:pPr>
      <w:r>
        <w:t xml:space="preserve">Establishment rate</w:t>
      </w:r>
      <w:r>
        <w:t xml:space="preserve"> </w:t>
      </w:r>
    </w:p>
    <w:p>
      <w:pPr>
        <w:jc w:val="center"/>
        <w:pStyle w:val="Standard"/>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6"/>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f9aac3b-d9b1-4292-87d0-7f55253c5e3f" w:name="table-s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f9aac3b-d9b1-4292-87d0-7f55253c5e3f"/>
      <w:r>
        <w:rPr>
          <w:rFonts/>
          <w:b w:val="true"/>
        </w:rPr>
        <w:t xml:space="preserve">: </w:t>
      </w:r>
      <w:r>
        <w:t xml:space="preserve">table-s2</w:t>
      </w:r>
    </w:p>
    <w:p>
      <w:r>
        <w:br w:type="page"/>
      </w:r>
    </w:p>
    <w:bookmarkEnd w:id="69"/>
    <w:bookmarkStart w:id="70" w:name="table-s3"/>
    <w:p>
      <w:pPr>
        <w:pStyle w:val="berschrift2"/>
      </w:pPr>
      <w:r>
        <w:t xml:space="preserve">Table S3</w:t>
      </w:r>
    </w:p>
    <w:p>
      <w:pPr>
        <w:pStyle w:val="FirstParagraph"/>
      </w:pPr>
      <w:r>
        <w:t xml:space="preserve">See repository outputs/tables/table_a3_seedmixes.csv</w:t>
      </w:r>
      <w:r>
        <w:t xml:space="preserve"> </w:t>
      </w:r>
    </w:p>
    <w:p>
      <w:r>
        <w:br w:type="page"/>
      </w:r>
    </w:p>
    <w:bookmarkEnd w:id="70"/>
    <w:bookmarkStart w:id="71" w:name="session-info"/>
    <w:p>
      <w:pPr>
        <w:pStyle w:val="berschrift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flextable_0.8.3      forcats_0.5.2        stringr_1.5.0       </w:t>
      </w:r>
      <w:r>
        <w:br/>
      </w:r>
      <w:r>
        <w:rPr>
          <w:rStyle w:val="VerbatimChar"/>
        </w:rPr>
        <w:t xml:space="preserve">##  [4] dplyr_1.0.10         purrr_0.3.5          readr_2.1.3         </w:t>
      </w:r>
      <w:r>
        <w:br/>
      </w:r>
      <w:r>
        <w:rPr>
          <w:rStyle w:val="VerbatimChar"/>
        </w:rPr>
        <w:t xml:space="preserve">##  [7] tidyr_1.2.1          tibble_3.1.8         ggplot2_3.4.0       </w:t>
      </w:r>
      <w:r>
        <w:br/>
      </w:r>
      <w:r>
        <w:rPr>
          <w:rStyle w:val="VerbatimChar"/>
        </w:rPr>
        <w:t xml:space="preserve">## [10] tidyverse_1.3.2      officer_0.4.4        officedown_0.2.5.004</w:t>
      </w:r>
      <w:r>
        <w:br/>
      </w:r>
      <w:r>
        <w:rPr>
          <w:rStyle w:val="VerbatimChar"/>
        </w:rPr>
        <w:t xml:space="preserve">## [13] bookdown_0.31        knitr_1.41          </w:t>
      </w:r>
      <w:r>
        <w:br/>
      </w:r>
      <w:r>
        <w:rPr>
          <w:rStyle w:val="VerbatimChar"/>
        </w:rPr>
        <w:t xml:space="preserve">## </w:t>
      </w:r>
      <w:r>
        <w:br/>
      </w:r>
      <w:r>
        <w:rPr>
          <w:rStyle w:val="VerbatimChar"/>
        </w:rPr>
        <w:t xml:space="preserve">## loaded via a namespace (and not attached):</w:t>
      </w:r>
      <w:r>
        <w:br/>
      </w:r>
      <w:r>
        <w:rPr>
          <w:rStyle w:val="VerbatimChar"/>
        </w:rPr>
        <w:t xml:space="preserve">##  [1] httr_1.4.4          bit64_4.0.5         vroom_1.6.0        </w:t>
      </w:r>
      <w:r>
        <w:br/>
      </w:r>
      <w:r>
        <w:rPr>
          <w:rStyle w:val="VerbatimChar"/>
        </w:rPr>
        <w:t xml:space="preserve">##  [4] jsonlite_1.8.4      here_1.0.1          modelr_0.1.10      </w:t>
      </w:r>
      <w:r>
        <w:br/>
      </w:r>
      <w:r>
        <w:rPr>
          <w:rStyle w:val="VerbatimChar"/>
        </w:rPr>
        <w:t xml:space="preserve">##  [7] assertthat_0.2.1    renv_0.16.0         googlesheets4_1.0.1</w:t>
      </w:r>
      <w:r>
        <w:br/>
      </w:r>
      <w:r>
        <w:rPr>
          <w:rStyle w:val="VerbatimChar"/>
        </w:rPr>
        <w:t xml:space="preserve">## [10] cellranger_1.1.0    yaml_2.3.6          gdtools_0.2.4      </w:t>
      </w:r>
      <w:r>
        <w:br/>
      </w:r>
      <w:r>
        <w:rPr>
          <w:rStyle w:val="VerbatimChar"/>
        </w:rPr>
        <w:t xml:space="preserve">## [13] pillar_1.8.1        backports_1.4.1     glue_1.6.2         </w:t>
      </w:r>
      <w:r>
        <w:br/>
      </w:r>
      <w:r>
        <w:rPr>
          <w:rStyle w:val="VerbatimChar"/>
        </w:rPr>
        <w:t xml:space="preserve">## [16] uuid_1.1-0          digest_0.6.30       rvest_1.0.3        </w:t>
      </w:r>
      <w:r>
        <w:br/>
      </w:r>
      <w:r>
        <w:rPr>
          <w:rStyle w:val="VerbatimChar"/>
        </w:rPr>
        <w:t xml:space="preserve">## [19] colorspace_2.0-3    htmltools_0.5.3     pkgconfig_2.0.3    </w:t>
      </w:r>
      <w:r>
        <w:br/>
      </w:r>
      <w:r>
        <w:rPr>
          <w:rStyle w:val="VerbatimChar"/>
        </w:rPr>
        <w:t xml:space="preserve">## [22] broom_1.0.1         haven_2.5.1         scales_1.2.1       </w:t>
      </w:r>
      <w:r>
        <w:br/>
      </w:r>
      <w:r>
        <w:rPr>
          <w:rStyle w:val="VerbatimChar"/>
        </w:rPr>
        <w:t xml:space="preserve">## [25] tzdb_0.3.0          timechange_0.1.1    googledrive_2.0.0  </w:t>
      </w:r>
      <w:r>
        <w:br/>
      </w:r>
      <w:r>
        <w:rPr>
          <w:rStyle w:val="VerbatimChar"/>
        </w:rPr>
        <w:t xml:space="preserve">## [28] generics_0.1.3      ellipsis_0.3.2      cachem_1.0.6       </w:t>
      </w:r>
      <w:r>
        <w:br/>
      </w:r>
      <w:r>
        <w:rPr>
          <w:rStyle w:val="VerbatimChar"/>
        </w:rPr>
        <w:t xml:space="preserve">## [31] withr_2.5.0         cli_3.4.1           magrittr_2.0.3     </w:t>
      </w:r>
      <w:r>
        <w:br/>
      </w:r>
      <w:r>
        <w:rPr>
          <w:rStyle w:val="VerbatimChar"/>
        </w:rPr>
        <w:t xml:space="preserve">## [34] crayon_1.5.2        readxl_1.4.1        memoise_2.0.1      </w:t>
      </w:r>
      <w:r>
        <w:br/>
      </w:r>
      <w:r>
        <w:rPr>
          <w:rStyle w:val="VerbatimChar"/>
        </w:rPr>
        <w:t xml:space="preserve">## [37] evaluate_0.19       fs_1.5.2            fansi_1.0.3        </w:t>
      </w:r>
      <w:r>
        <w:br/>
      </w:r>
      <w:r>
        <w:rPr>
          <w:rStyle w:val="VerbatimChar"/>
        </w:rPr>
        <w:t xml:space="preserve">## [40] xml2_1.3.3          tools_4.2.2         data.table_1.14.6  </w:t>
      </w:r>
      <w:r>
        <w:br/>
      </w:r>
      <w:r>
        <w:rPr>
          <w:rStyle w:val="VerbatimChar"/>
        </w:rPr>
        <w:t xml:space="preserve">## [43] hms_1.1.2           gargle_1.2.1        lifecycle_1.0.3    </w:t>
      </w:r>
      <w:r>
        <w:br/>
      </w:r>
      <w:r>
        <w:rPr>
          <w:rStyle w:val="VerbatimChar"/>
        </w:rPr>
        <w:t xml:space="preserve">## [46] munsell_0.5.0       reprex_2.0.2        zip_2.2.2          </w:t>
      </w:r>
      <w:r>
        <w:br/>
      </w:r>
      <w:r>
        <w:rPr>
          <w:rStyle w:val="VerbatimChar"/>
        </w:rPr>
        <w:t xml:space="preserve">## [49] compiler_4.2.2      systemfonts_1.0.4   rlang_1.0.6        </w:t>
      </w:r>
      <w:r>
        <w:br/>
      </w:r>
      <w:r>
        <w:rPr>
          <w:rStyle w:val="VerbatimChar"/>
        </w:rPr>
        <w:t xml:space="preserve">## [52] grid_4.2.2          rstudioapi_0.14     base64enc_0.1-3    </w:t>
      </w:r>
      <w:r>
        <w:br/>
      </w:r>
      <w:r>
        <w:rPr>
          <w:rStyle w:val="VerbatimChar"/>
        </w:rPr>
        <w:t xml:space="preserve">## [55] rmarkdown_2.19      gtable_0.3.1        DBI_1.1.3          </w:t>
      </w:r>
      <w:r>
        <w:br/>
      </w:r>
      <w:r>
        <w:rPr>
          <w:rStyle w:val="VerbatimChar"/>
        </w:rPr>
        <w:t xml:space="preserve">## [58] R6_2.5.1            rvg_0.3.0           lubridate_1.9.0    </w:t>
      </w:r>
      <w:r>
        <w:br/>
      </w:r>
      <w:r>
        <w:rPr>
          <w:rStyle w:val="VerbatimChar"/>
        </w:rPr>
        <w:t xml:space="preserve">## [61] bit_4.0.5           fastmap_1.1.0       utf8_1.2.2         </w:t>
      </w:r>
      <w:r>
        <w:br/>
      </w:r>
      <w:r>
        <w:rPr>
          <w:rStyle w:val="VerbatimChar"/>
        </w:rPr>
        <w:t xml:space="preserve">## [64] rprojroot_2.0.3     stringi_1.7.8       parallel_4.2.2     </w:t>
      </w:r>
      <w:r>
        <w:br/>
      </w:r>
      <w:r>
        <w:rPr>
          <w:rStyle w:val="VerbatimChar"/>
        </w:rPr>
        <w:t xml:space="preserve">## [67] Rcpp_1.0.9          vctrs_0.5.1         dbplyr_2.2.1       </w:t>
      </w:r>
      <w:r>
        <w:br/>
      </w:r>
      <w:r>
        <w:rPr>
          <w:rStyle w:val="VerbatimChar"/>
        </w:rPr>
        <w:t xml:space="preserve">## [70] tidyselect_1.2.0    xfun_0.35</w:t>
      </w:r>
    </w:p>
    <w:bookmarkEnd w:id="71"/>
    <w:bookmarkEnd w:id="72"/>
    <w:sectPr>
      <w:pgMar w:header="720" w:bottom="1800" w:top="1800" w:right="720" w:left="720" w:footer="720" w:gutter="72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Content>
      <w:p w14:paraId="51B76543" w14:textId="77777777" w:rsidR="00340337" w:rsidRDefault="00000000">
        <w:pPr>
          <w:pStyle w:val="Fuzeile"/>
          <w:jc w:val="center"/>
        </w:pPr>
        <w:r>
          <w:fldChar w:fldCharType="begin"/>
        </w:r>
        <w:r>
          <w:instrText>PAGE</w:instrText>
        </w:r>
        <w:r>
          <w:fldChar w:fldCharType="separate"/>
        </w:r>
        <w:r>
          <w:t>8</w:t>
        </w:r>
        <w:r>
          <w:fldChar w:fldCharType="end"/>
        </w:r>
      </w:p>
    </w:sdtContent>
  </w:sdt>
  <w:p w14:paraId="03B4A6CB" w14:textId="77777777" w:rsidR="00340337" w:rsidRDefault="00340337">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98705DA"/>
    <w:multiLevelType w:val="multilevel"/>
    <w:tmpl w:val="70B8AD1E"/>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24BC0BC8"/>
    <w:multiLevelType w:val="multilevel"/>
    <w:tmpl w:val="67B8943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2">
    <w:nsid w:val="78D54504"/>
    <w:multiLevelType w:val="multilevel"/>
    <w:tmpl w:val="CDA86476"/>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3">
    <w:nsid w:val="7DE33EB1"/>
    <w:multiLevelType w:val="multilevel"/>
    <w:tmpl w:val="A32A18EE"/>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98033" w:numId="1">
    <w:abstractNumId w:val="1"/>
  </w:num>
  <w:num w16cid:durableId="1504660150" w:numId="2">
    <w:abstractNumId w:val="2"/>
  </w:num>
  <w:num w16cid:durableId="1331563840" w:numId="3">
    <w:abstractNumId w:val="3"/>
  </w:num>
  <w:num w16cid:durableId="1756435790" w:numId="4">
    <w:abstractNumId w:val="0"/>
  </w:num>
  <w:num w16cid:durableId="305621393" w:numId="5">
    <w:abstractNumId w:val="1"/>
    <w:lvlOverride w:ilvl="0">
      <w:startOverride w:val="1"/>
    </w:lvlOverride>
  </w:num>
  <w:num w16cid:durableId="1731002885" w:numId="6">
    <w:abstractNumId w:val="2"/>
    <w:lvlOverride w:ilvl="0">
      <w:startOverride w:val="2"/>
    </w:lvlOverride>
  </w:num>
  <w:num w16cid:durableId="949166339" w:numId="7">
    <w:abstractNumId w:val="3"/>
    <w:lvlOverride w:ilvl="0">
      <w:startOverride w:val="3"/>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qFormat="1"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6C57ED"/>
    <w:pPr>
      <w:spacing w:after="180" w:before="180" w:line="360" w:lineRule="auto"/>
    </w:pPr>
  </w:style>
  <w:style w:styleId="berschrift1" w:type="paragraph">
    <w:name w:val="heading 1"/>
    <w:basedOn w:val="Standard"/>
    <w:next w:val="Standard"/>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berschrift2" w:type="paragraph">
    <w:name w:val="heading 2"/>
    <w:basedOn w:val="Standard"/>
    <w:next w:val="Standard"/>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berschrift3" w:type="paragraph">
    <w:name w:val="heading 3"/>
    <w:basedOn w:val="berschrift2"/>
    <w:next w:val="Standard"/>
    <w:uiPriority w:val="9"/>
    <w:unhideWhenUsed/>
    <w:qFormat/>
    <w:rsid w:val="00502A41"/>
    <w:pPr>
      <w:outlineLvl w:val="2"/>
    </w:pPr>
    <w:rPr>
      <w:sz w:val="18"/>
    </w:rPr>
  </w:style>
  <w:style w:styleId="berschrift4" w:type="paragraph">
    <w:name w:val="heading 4"/>
    <w:basedOn w:val="berschrift3"/>
    <w:next w:val="Standard"/>
    <w:uiPriority w:val="9"/>
    <w:unhideWhenUsed/>
    <w:qFormat/>
    <w:rsid w:val="00447E2E"/>
    <w:pPr>
      <w:outlineLvl w:val="3"/>
    </w:pPr>
    <w:rPr>
      <w:sz w:val="16"/>
      <w:lang w:val="es-ES"/>
    </w:rPr>
  </w:style>
  <w:style w:styleId="berschrift5" w:type="paragraph">
    <w:name w:val="heading 5"/>
    <w:basedOn w:val="berschrift4"/>
    <w:next w:val="Standard"/>
    <w:uiPriority w:val="9"/>
    <w:unhideWhenUsed/>
    <w:qFormat/>
    <w:rsid w:val="002D03B3"/>
    <w:pPr>
      <w:outlineLvl w:val="4"/>
    </w:pPr>
  </w:style>
  <w:style w:styleId="berschrift6" w:type="paragraph">
    <w:name w:val="heading 6"/>
    <w:basedOn w:val="Standard"/>
    <w:next w:val="Standard"/>
    <w:link w:val="berschrift6Zchn"/>
    <w:qFormat/>
    <w:rsid w:val="00380EBE"/>
    <w:pPr>
      <w:keepNext/>
      <w:keepLines/>
      <w:pageBreakBefore/>
      <w:spacing w:after="0" w:before="200"/>
      <w:outlineLvl w:val="5"/>
    </w:pPr>
    <w:rPr>
      <w:rFonts w:asciiTheme="majorHAnsi" w:cstheme="majorBidi" w:eastAsiaTheme="majorEastAsia" w:hAnsiTheme="majorHAnsi"/>
      <w:iCs/>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odyTextChar" w:type="character">
    <w:name w:val="Body Text Char"/>
    <w:basedOn w:val="Absatz-Standardschriftart"/>
    <w:link w:val="ImageCaption"/>
    <w:qFormat/>
  </w:style>
  <w:style w:customStyle="1" w:styleId="VerbatimChar" w:type="character">
    <w:name w:val="Verbatim Char"/>
    <w:basedOn w:val="BodyTextChar"/>
    <w:link w:val="SourceCode"/>
    <w:qFormat/>
    <w:rPr>
      <w:rFonts w:ascii="Consolas" w:hAnsi="Consolas"/>
      <w:sz w:val="22"/>
    </w:rPr>
  </w:style>
  <w:style w:customStyle="1" w:styleId="FootnoteRef" w:type="character">
    <w:name w:val="Footnote Ref"/>
    <w:basedOn w:val="BodyTextChar"/>
    <w:qFormat/>
    <w:rPr>
      <w:vertAlign w:val="superscript"/>
    </w:rPr>
  </w:style>
  <w:style w:customStyle="1" w:styleId="Link" w:type="character">
    <w:name w:val="Link"/>
    <w:basedOn w:val="BodyTextChar"/>
    <w:qFormat/>
    <w:rPr>
      <w:color w:themeColor="accent1" w:val="4F81BD"/>
    </w:rPr>
  </w:style>
  <w:style w:customStyle="1" w:styleId="KeywordTok" w:type="character">
    <w:name w:val="KeywordTok"/>
    <w:basedOn w:val="VerbatimChar"/>
    <w:qFormat/>
    <w:rPr>
      <w:rFonts w:ascii="Consolas" w:hAnsi="Consolas"/>
      <w:b/>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ErrorTok" w:type="character">
    <w:name w:val="ErrorTok"/>
    <w:basedOn w:val="VerbatimChar"/>
    <w:qFormat/>
    <w:rPr>
      <w:rFonts w:ascii="Consolas" w:hAnsi="Consolas"/>
      <w:b/>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styleId="Hyperlink" w:type="character">
    <w:name w:val="Hyperlink"/>
    <w:basedOn w:val="Absatz-Standardschriftart"/>
    <w:rsid w:val="00A6715F"/>
    <w:rPr>
      <w:color w:themeColor="hyperlink" w:val="0000FF"/>
      <w:u w:val="single"/>
    </w:rPr>
  </w:style>
  <w:style w:customStyle="1" w:styleId="berschrift6Zchn" w:type="character">
    <w:name w:val="Überschrift 6 Zchn"/>
    <w:basedOn w:val="Absatz-Standardschriftart"/>
    <w:link w:val="berschrift6"/>
    <w:qFormat/>
    <w:rsid w:val="00380EBE"/>
    <w:rPr>
      <w:rFonts w:asciiTheme="majorHAnsi" w:cstheme="majorBidi" w:eastAsiaTheme="majorEastAsia" w:hAnsiTheme="majorHAnsi"/>
      <w:iCs/>
      <w:sz w:val="20"/>
    </w:rPr>
  </w:style>
  <w:style w:customStyle="1" w:styleId="TextkrperZchn" w:type="character">
    <w:name w:val="Textkörper Zchn"/>
    <w:basedOn w:val="Absatz-Standardschriftart"/>
    <w:link w:val="Textkrper"/>
    <w:qFormat/>
    <w:rsid w:val="00C102C2"/>
    <w:rPr>
      <w:sz w:val="20"/>
    </w:rPr>
  </w:style>
  <w:style w:styleId="Zeilennummer" w:type="character">
    <w:name w:val="line number"/>
    <w:basedOn w:val="Absatz-Standardschriftart"/>
    <w:qFormat/>
    <w:rsid w:val="005620F8"/>
  </w:style>
  <w:style w:customStyle="1" w:styleId="KopfzeileZchn" w:type="character">
    <w:name w:val="Kopfzeile Zchn"/>
    <w:basedOn w:val="Absatz-Standardschriftart"/>
    <w:link w:val="Kopfzeile"/>
    <w:qFormat/>
    <w:rsid w:val="000B51C4"/>
    <w:rPr>
      <w:sz w:val="20"/>
    </w:rPr>
  </w:style>
  <w:style w:customStyle="1" w:styleId="FuzeileZchn" w:type="character">
    <w:name w:val="Fußzeile Zchn"/>
    <w:basedOn w:val="Absatz-Standardschriftart"/>
    <w:link w:val="Fuzeile"/>
    <w:uiPriority w:val="99"/>
    <w:qFormat/>
    <w:rsid w:val="000B51C4"/>
    <w:rPr>
      <w:sz w:val="20"/>
    </w:rPr>
  </w:style>
  <w:style w:customStyle="1" w:styleId="LineNumbering" w:type="character">
    <w:name w:val="Line Numbering"/>
  </w:style>
  <w:style w:customStyle="1" w:styleId="Heading" w:type="paragraph">
    <w:name w:val="Heading"/>
    <w:basedOn w:val="Standard"/>
    <w:next w:val="Textkrper"/>
    <w:qFormat/>
    <w:pPr>
      <w:keepNext/>
      <w:spacing w:after="120" w:before="240"/>
    </w:pPr>
    <w:rPr>
      <w:rFonts w:ascii="Liberation Sans" w:cs="Lohit Devanagari" w:eastAsia="Noto Sans CJK SC" w:hAnsi="Liberation Sans"/>
      <w:sz w:val="28"/>
      <w:szCs w:val="28"/>
    </w:rPr>
  </w:style>
  <w:style w:styleId="Textkrper" w:type="paragraph">
    <w:name w:val="Body Text"/>
    <w:basedOn w:val="Standard"/>
    <w:link w:val="TextkrperZchn"/>
    <w:pPr>
      <w:spacing w:after="120"/>
    </w:pPr>
  </w:style>
  <w:style w:styleId="Liste" w:type="paragraph">
    <w:name w:val="List"/>
    <w:basedOn w:val="Textkrper"/>
    <w:rPr>
      <w:rFonts w:cs="Lohit Devanagari"/>
    </w:rPr>
  </w:style>
  <w:style w:styleId="Beschriftung" w:type="paragraph">
    <w:name w:val="caption"/>
    <w:basedOn w:val="Standard"/>
    <w:qFormat/>
    <w:pPr>
      <w:suppressLineNumbers/>
      <w:spacing w:after="120" w:before="120"/>
    </w:pPr>
    <w:rPr>
      <w:rFonts w:cs="Lohit Devanagari"/>
      <w:i/>
      <w:iCs/>
      <w:sz w:val="24"/>
    </w:rPr>
  </w:style>
  <w:style w:customStyle="1" w:styleId="Index" w:type="paragraph">
    <w:name w:val="Index"/>
    <w:basedOn w:val="Standard"/>
    <w:qFormat/>
    <w:pPr>
      <w:suppressLineNumbers/>
    </w:pPr>
    <w:rPr>
      <w:rFonts w:cs="Lohit Devanagari"/>
    </w:rPr>
  </w:style>
  <w:style w:customStyle="1" w:styleId="Compact" w:type="paragraph">
    <w:name w:val="Compact"/>
    <w:basedOn w:val="Standard"/>
    <w:qFormat/>
    <w:pPr>
      <w:spacing w:after="36" w:before="36"/>
    </w:pPr>
  </w:style>
  <w:style w:styleId="Titel" w:type="paragraph">
    <w:name w:val="Title"/>
    <w:basedOn w:val="Standard"/>
    <w:next w:val="Standard"/>
    <w:qFormat/>
    <w:rsid w:val="00EC1535"/>
    <w:pPr>
      <w:keepNext/>
      <w:keepLines/>
      <w:spacing w:after="720" w:before="480"/>
    </w:pPr>
    <w:rPr>
      <w:rFonts w:asciiTheme="majorHAnsi" w:cstheme="majorBidi" w:eastAsiaTheme="majorEastAsia" w:hAnsiTheme="majorHAnsi"/>
      <w:b/>
      <w:bCs/>
      <w:sz w:val="28"/>
      <w:szCs w:val="36"/>
    </w:rPr>
  </w:style>
  <w:style w:styleId="Untertitel" w:type="paragraph">
    <w:name w:val="Subtitle"/>
    <w:basedOn w:val="Titel"/>
    <w:next w:val="Standard"/>
    <w:qFormat/>
    <w:pPr>
      <w:spacing w:before="240"/>
    </w:pPr>
    <w:rPr>
      <w:sz w:val="30"/>
      <w:szCs w:val="30"/>
    </w:rPr>
  </w:style>
  <w:style w:customStyle="1" w:styleId="Author" w:type="paragraph">
    <w:name w:val="Author"/>
    <w:next w:val="Standard"/>
    <w:qFormat/>
    <w:rsid w:val="005F1DFC"/>
    <w:pPr>
      <w:keepNext/>
      <w:keepLines/>
      <w:spacing w:after="320" w:before="120"/>
    </w:pPr>
  </w:style>
  <w:style w:styleId="Datum" w:type="paragraph">
    <w:name w:val="Date"/>
    <w:next w:val="Standard"/>
    <w:qFormat/>
    <w:pPr>
      <w:keepNext/>
      <w:keepLines/>
      <w:spacing w:after="200"/>
      <w:jc w:val="center"/>
    </w:pPr>
  </w:style>
  <w:style w:customStyle="1" w:styleId="Abstract" w:type="paragraph">
    <w:name w:val="Abstract"/>
    <w:basedOn w:val="Standard"/>
    <w:next w:val="Standard"/>
    <w:qFormat/>
    <w:pPr>
      <w:keepNext/>
      <w:keepLines/>
      <w:spacing w:after="300" w:before="300"/>
    </w:pPr>
    <w:rPr>
      <w:szCs w:val="20"/>
    </w:rPr>
  </w:style>
  <w:style w:styleId="Literaturverzeichnis" w:type="paragraph">
    <w:name w:val="Bibliography"/>
    <w:basedOn w:val="Standard"/>
    <w:qFormat/>
    <w:rsid w:val="006C57ED"/>
    <w:pPr>
      <w:ind w:hanging="567" w:left="567"/>
    </w:pPr>
  </w:style>
  <w:style w:customStyle="1" w:styleId="BlockQuote" w:type="paragraph">
    <w:name w:val="Block Quote"/>
    <w:basedOn w:val="Standard"/>
    <w:next w:val="Standard"/>
    <w:uiPriority w:val="9"/>
    <w:unhideWhenUsed/>
    <w:qFormat/>
    <w:rsid w:val="00975FD8"/>
    <w:pPr>
      <w:spacing w:after="100" w:before="100" w:line="240" w:lineRule="auto"/>
    </w:pPr>
    <w:rPr>
      <w:rFonts w:asciiTheme="majorHAnsi" w:cstheme="majorBidi" w:eastAsiaTheme="majorEastAsia" w:hAnsiTheme="majorHAnsi"/>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qFormat/>
    <w:pPr>
      <w:keepNext/>
      <w:keepLines/>
      <w:spacing w:after="0"/>
    </w:pPr>
    <w:rPr>
      <w:b/>
    </w:rPr>
  </w:style>
  <w:style w:customStyle="1" w:styleId="Definition" w:type="paragraph">
    <w:name w:val="Definition"/>
    <w:basedOn w:val="Standard"/>
    <w:qFormat/>
  </w:style>
  <w:style w:customStyle="1" w:styleId="TableCaption" w:type="paragraph">
    <w:name w:val="Table Caption"/>
    <w:basedOn w:val="Standard"/>
    <w:qFormat/>
    <w:pPr>
      <w:spacing w:after="120" w:before="0"/>
    </w:pPr>
    <w:rPr>
      <w:i/>
    </w:rPr>
  </w:style>
  <w:style w:customStyle="1" w:styleId="ImageCaption" w:type="paragraph">
    <w:name w:val="Image Caption"/>
    <w:basedOn w:val="Standard"/>
    <w:link w:val="BodyTextChar"/>
    <w:qFormat/>
    <w:pPr>
      <w:spacing w:after="120" w:before="0"/>
    </w:pPr>
    <w:rPr>
      <w:i/>
    </w:rPr>
  </w:style>
  <w:style w:customStyle="1" w:styleId="SourceCode" w:type="paragraph">
    <w:name w:val="Source Code"/>
    <w:basedOn w:val="Standard"/>
    <w:link w:val="VerbatimChar"/>
    <w:qFormat/>
    <w:pPr>
      <w:shd w:color="auto" w:fill="F8F8F8" w:val="clear"/>
    </w:pPr>
  </w:style>
  <w:style w:customStyle="1" w:styleId="HeaderandFooter" w:type="paragraph">
    <w:name w:val="Header and Footer"/>
    <w:basedOn w:val="Standard"/>
    <w:qFormat/>
  </w:style>
  <w:style w:styleId="Kopfzeile" w:type="paragraph">
    <w:name w:val="header"/>
    <w:basedOn w:val="Standard"/>
    <w:link w:val="KopfzeileZchn"/>
    <w:rsid w:val="000B51C4"/>
    <w:pPr>
      <w:suppressLineNumbers/>
      <w:tabs>
        <w:tab w:pos="4513" w:val="center"/>
        <w:tab w:pos="9026" w:val="right"/>
      </w:tabs>
      <w:spacing w:after="0" w:before="0" w:line="240" w:lineRule="auto"/>
    </w:pPr>
  </w:style>
  <w:style w:styleId="Fuzeile" w:type="paragraph">
    <w:name w:val="footer"/>
    <w:basedOn w:val="Standard"/>
    <w:link w:val="FuzeileZchn"/>
    <w:uiPriority w:val="99"/>
    <w:rsid w:val="000B51C4"/>
    <w:pPr>
      <w:suppressLineNumbers/>
      <w:tabs>
        <w:tab w:pos="4513" w:val="center"/>
        <w:tab w:pos="9026" w:val="right"/>
      </w:tabs>
      <w:spacing w:after="0" w:before="0" w:line="240" w:lineRule="auto"/>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50" Type="http://schemas.openxmlformats.org/officeDocument/2006/relationships/hyperlink" Target="https://CRAN.R-project.org/package=DHARMa" TargetMode="External"/>
<Relationship Id="rId45" Type="http://schemas.openxmlformats.org/officeDocument/2006/relationships/hyperlink" Target="https://cdc.dwd.de/portal/" TargetMode="External"/>
<Relationship Id="rId41" Type="http://schemas.openxmlformats.org/officeDocument/2006/relationships/hyperlink" Target="https://doi.org/10.1007/978-3-7091-8110-2" TargetMode="External"/>
<Relationship Id="rId43" Type="http://schemas.openxmlformats.org/officeDocument/2006/relationships/hyperlink" Target="https://doi.org/10.1007/s11336-013-9328-2" TargetMode="External"/>
<Relationship Id="rId52" Type="http://schemas.openxmlformats.org/officeDocument/2006/relationships/hyperlink" Target="https://doi.org/10.1111/avsc.12257" TargetMode="External"/>
<Relationship Id="rId36" Type="http://schemas.openxmlformats.org/officeDocument/2006/relationships/hyperlink" Target="https://doi.org/10.18637/jss.v067.i01" TargetMode="External"/>
<Relationship Id="rId33" Type="http://schemas.openxmlformats.org/officeDocument/2006/relationships/hyperlink" Target="https://github.com/markus1bauer/2023_danube_dike_experiment/tree/main/markdown" TargetMode="External"/>
<Relationship Id="rId54" Type="http://schemas.openxmlformats.org/officeDocument/2006/relationships/hyperlink" Target="https://www.R-project.org/" TargetMode="External"/>
<Relationship Id="rId48" Type="http://schemas.openxmlformats.org/officeDocument/2006/relationships/hyperlink" Target="https://www.dwd.de" TargetMode="External"/>
<Relationship Id="rId38" Type="http://schemas.openxmlformats.org/officeDocument/2006/relationships/hyperlink" Target="https://www.gkd.bayern.de/en/rivers/discharge/passau/pfelling-10078000/total-period" TargetMode="External"/>
<Relationship Id="rId20" Type="http://schemas.openxmlformats.org/officeDocument/2006/relationships/hyperlink" Target="mailto:markus1.bauer@tum.de" TargetMode="External"/>
<Relationship Id="rId55" Type="http://schemas.openxmlformats.org/officeDocument/2006/relationships/image" Target="media/file44a850c04890.tiff"/>
<Relationship Id="rId56" Type="http://schemas.openxmlformats.org/officeDocument/2006/relationships/image" Target="media/file44a8453545f6.html"/>
</Relationships>

</file>

<file path=word/_rels/footnotes.xml.rels><?xml version="1.0" encoding="UTF-8" standalone="yes"?>

<Relationships  xmlns="http://schemas.openxmlformats.org/package/2006/relationships">
<Relationship Id="rId50" Type="http://schemas.openxmlformats.org/officeDocument/2006/relationships/hyperlink" Target="https://CRAN.R-project.org/package=DHARMa" TargetMode="External"/>
<Relationship Id="rId45" Type="http://schemas.openxmlformats.org/officeDocument/2006/relationships/hyperlink" Target="https://cdc.dwd.de/portal/" TargetMode="External"/>
<Relationship Id="rId41" Type="http://schemas.openxmlformats.org/officeDocument/2006/relationships/hyperlink" Target="https://doi.org/10.1007/978-3-7091-8110-2" TargetMode="External"/>
<Relationship Id="rId43" Type="http://schemas.openxmlformats.org/officeDocument/2006/relationships/hyperlink" Target="https://doi.org/10.1007/s11336-013-9328-2" TargetMode="External"/>
<Relationship Id="rId52" Type="http://schemas.openxmlformats.org/officeDocument/2006/relationships/hyperlink" Target="https://doi.org/10.1111/avsc.12257" TargetMode="External"/>
<Relationship Id="rId36" Type="http://schemas.openxmlformats.org/officeDocument/2006/relationships/hyperlink" Target="https://doi.org/10.18637/jss.v067.i01" TargetMode="External"/>
<Relationship Id="rId33" Type="http://schemas.openxmlformats.org/officeDocument/2006/relationships/hyperlink" Target="https://github.com/markus1bauer/2023_danube_dike_experiment/tree/main/markdown" TargetMode="External"/>
<Relationship Id="rId54" Type="http://schemas.openxmlformats.org/officeDocument/2006/relationships/hyperlink" Target="https://www.R-project.org/" TargetMode="External"/>
<Relationship Id="rId48" Type="http://schemas.openxmlformats.org/officeDocument/2006/relationships/hyperlink" Target="https://www.dwd.de" TargetMode="External"/>
<Relationship Id="rId38" Type="http://schemas.openxmlformats.org/officeDocument/2006/relationships/hyperlink" Target="https://www.gkd.bayern.de/en/rivers/discharge/passau/pfelling-10078000/total-period" TargetMode="External"/>
<Relationship Id="rId20" Type="http://schemas.openxmlformats.org/officeDocument/2006/relationships/hyperlink"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Dike experiment</dc:title>
  <dc:creator>Markus Bauer*, Jakob Huber, Johannes Kollmann</dc:creator>
  <cp:keywords/>
  <dcterms:created xsi:type="dcterms:W3CDTF">2022-12-15T17:41:12Z</dcterms:created>
  <dcterms:modified xsi:type="dcterms:W3CDTF">2022-12-15T18:41:13Z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output">
    <vt:lpwstr/>
  </property>
</Properties>
</file>