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footer1.xml" ContentType="application/vnd.openxmlformats-officedocument.wordprocessingml.footer+xml"/>
  <Override PartName="/word/media/rId73.tiff" ContentType="image/tiff"/>
  <Override PartName="/word/media/rId84.shtml" ContentType="text/ht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el"/>
      </w:pPr>
      <w:r>
        <w:t xml:space="preserve">Dike</w:t>
      </w:r>
      <w:r>
        <w:t xml:space="preserve"> </w:t>
      </w:r>
      <w:r>
        <w:t xml:space="preserve">experiment</w:t>
      </w:r>
    </w:p>
    <w:p>
      <w:pPr>
        <w:pStyle w:val="Author"/>
      </w:pPr>
      <w:r>
        <w:t xml:space="preserve">Markus</w:t>
      </w:r>
      <w:r>
        <w:t xml:space="preserve"> </w:t>
      </w:r>
      <w:r>
        <w:t xml:space="preserve">Bauer*,</w:t>
      </w:r>
      <w:r>
        <w:t xml:space="preserve"> </w:t>
      </w:r>
      <w:r>
        <w:t xml:space="preserve">Jakob</w:t>
      </w:r>
      <w:r>
        <w:t xml:space="preserve"> </w:t>
      </w:r>
      <w:r>
        <w:t xml:space="preserve">Huber,</w:t>
      </w:r>
      <w:r>
        <w:t xml:space="preserve"> </w:t>
      </w:r>
      <w:r>
        <w:t xml:space="preserve">Johannes</w:t>
      </w:r>
      <w:r>
        <w:t xml:space="preserve"> </w:t>
      </w:r>
      <w:r>
        <w:t xml:space="preserve">Kollmann</w:t>
      </w:r>
    </w:p>
    <w:bookmarkStart w:id="21" w:name="document-head"/>
    <w:p>
      <w:pPr>
        <w:pStyle w:val="berschrift1"/>
      </w:pPr>
      <w:r>
        <w:rPr>
          <w:rStyle w:val="SectionNumber"/>
        </w:rPr>
        <w:t xml:space="preserve">1</w:t>
      </w:r>
      <w:r>
        <w:tab/>
      </w:r>
      <w:r>
        <w:t xml:space="preserve">Document head</w:t>
      </w:r>
    </w:p>
    <w:p>
      <w:pPr>
        <w:pStyle w:val="FirstParagraph"/>
      </w:pPr>
      <w:r>
        <w:t xml:space="preserve">Restoration Ecology, TUM School of Life Sciences, Technical University of Munich, Germany</w:t>
      </w:r>
    </w:p>
    <w:p>
      <w:pPr>
        <w:pStyle w:val="Textkrper"/>
      </w:pPr>
      <w:r>
        <w:t xml:space="preserve">* Corresponding author:</w:t>
      </w:r>
      <w:r>
        <w:t xml:space="preserve"> </w:t>
      </w:r>
      <w:hyperlink r:id="rId20">
        <w:r>
          <w:rPr>
            <w:rStyle w:val="Hyperlink"/>
          </w:rPr>
          <w:t xml:space="preserve">markus1.bauer@tum.de</w:t>
        </w:r>
      </w:hyperlink>
    </w:p>
    <w:p>
      <w:pPr>
        <w:pStyle w:val="Textkrper"/>
      </w:pPr>
      <w:r>
        <w:t xml:space="preserve">Open Research: Data and code are permanently available on Zenodo under:</w:t>
      </w:r>
      <w:r>
        <w:t xml:space="preserve"> </w:t>
      </w:r>
      <w:r>
        <w:t xml:space="preserve">.</w:t>
      </w:r>
    </w:p>
    <w:p>
      <w:pPr>
        <w:pStyle w:val="Textkrper"/>
      </w:pPr>
      <w:r>
        <w:rPr>
          <w:bCs/>
          <w:b/>
        </w:rPr>
        <w:t xml:space="preserve">Max 8000 words</w:t>
      </w:r>
    </w:p>
    <w:p>
      <w:r>
        <w:br w:type="page"/>
      </w:r>
    </w:p>
    <w:bookmarkEnd w:id="21"/>
    <w:bookmarkStart w:id="22" w:name="abstract-max-300-words"/>
    <w:p>
      <w:pPr>
        <w:pStyle w:val="berschrift1"/>
      </w:pPr>
      <w:r>
        <w:t xml:space="preserve">Abstract (max 300 words)</w:t>
      </w:r>
    </w:p>
    <w:bookmarkEnd w:id="22"/>
    <w:bookmarkStart w:id="23" w:name="keywords"/>
    <w:p>
      <w:pPr>
        <w:pStyle w:val="berschrift1"/>
      </w:pPr>
      <w:r>
        <w:t xml:space="preserve">Keywords</w:t>
      </w:r>
    </w:p>
    <w:p>
      <w:pPr>
        <w:pStyle w:val="FirstParagraph"/>
      </w:pPr>
      <w:r>
        <w:t xml:space="preserve">Bayesian models</w:t>
      </w:r>
    </w:p>
    <w:p>
      <w:pPr>
        <w:pStyle w:val="Textkrper"/>
      </w:pPr>
      <w:r>
        <w:t xml:space="preserve">dike grasslands</w:t>
      </w:r>
    </w:p>
    <w:p>
      <w:pPr>
        <w:pStyle w:val="Textkrper"/>
      </w:pPr>
      <w:r>
        <w:t xml:space="preserve">embankment</w:t>
      </w:r>
    </w:p>
    <w:p>
      <w:pPr>
        <w:pStyle w:val="Textkrper"/>
      </w:pPr>
      <w:r>
        <w:t xml:space="preserve">endangered species</w:t>
      </w:r>
    </w:p>
    <w:p>
      <w:pPr>
        <w:pStyle w:val="Textkrper"/>
      </w:pPr>
      <w:r>
        <w:t xml:space="preserve">environmental filter</w:t>
      </w:r>
    </w:p>
    <w:p>
      <w:pPr>
        <w:pStyle w:val="Textkrper"/>
      </w:pPr>
      <w:r>
        <w:t xml:space="preserve">species composition</w:t>
      </w:r>
    </w:p>
    <w:p>
      <w:pPr>
        <w:pStyle w:val="Textkrper"/>
      </w:pPr>
      <w:r>
        <w:t xml:space="preserve">restoration</w:t>
      </w:r>
    </w:p>
    <w:p>
      <w:pPr>
        <w:pStyle w:val="Textkrper"/>
      </w:pPr>
      <w:r>
        <w:t xml:space="preserve">sand</w:t>
      </w:r>
    </w:p>
    <w:p>
      <w:pPr>
        <w:pStyle w:val="Textkrper"/>
      </w:pPr>
      <w:r>
        <w:t xml:space="preserve">soil properties</w:t>
      </w:r>
    </w:p>
    <w:p>
      <w:pPr>
        <w:pStyle w:val="Textkrper"/>
      </w:pPr>
      <w:r>
        <w:t xml:space="preserve">surveys</w:t>
      </w:r>
    </w:p>
    <w:p>
      <w:pPr>
        <w:pStyle w:val="Textkrper"/>
      </w:pPr>
      <w:r>
        <w:t xml:space="preserve">vegetation</w:t>
      </w:r>
    </w:p>
    <w:p>
      <w:r>
        <w:br w:type="page"/>
      </w:r>
    </w:p>
    <w:bookmarkEnd w:id="23"/>
    <w:bookmarkStart w:id="24" w:name="introduction"/>
    <w:p>
      <w:pPr>
        <w:pStyle w:val="berschrift1"/>
      </w:pPr>
      <w:r>
        <w:rPr>
          <w:rStyle w:val="SectionNumber"/>
        </w:rPr>
        <w:t xml:space="preserve">2</w:t>
      </w:r>
      <w:r>
        <w:tab/>
      </w:r>
      <w:r>
        <w:t xml:space="preserve">Introduction</w:t>
      </w:r>
    </w:p>
    <w:p>
      <w:pPr>
        <w:pStyle w:val="FirstParagraph"/>
      </w:pPr>
      <w:r>
        <w:t xml:space="preserve">“</w:t>
      </w:r>
      <w:r>
        <w:t xml:space="preserve">Ecological theory can point restoration toward important processes that need manipulation […]. However, for this information to be relevant, restoration ecology needs to employ evidence-based assessments […]</w:t>
      </w:r>
      <w:r>
        <w:t xml:space="preserve">”</w:t>
      </w:r>
      <w:r>
        <w:t xml:space="preserve"> </w:t>
      </w:r>
      <w:r>
        <w:t xml:space="preserve">(Suding 2011) –&gt; No evidence for theory with our project</w:t>
      </w:r>
    </w:p>
    <w:p>
      <w:pPr>
        <w:numPr>
          <w:ilvl w:val="0"/>
          <w:numId w:val="1001"/>
        </w:numPr>
      </w:pPr>
      <w:r>
        <w:t xml:space="preserve">Endangered grasslands</w:t>
      </w:r>
    </w:p>
    <w:p>
      <w:pPr>
        <w:numPr>
          <w:ilvl w:val="0"/>
          <w:numId w:val="1001"/>
        </w:numPr>
      </w:pPr>
      <w:r>
        <w:t xml:space="preserve">Predictability of restorations –&gt; experiments, evidence-based restoration (cooke 2018)</w:t>
      </w:r>
    </w:p>
    <w:p>
      <w:pPr>
        <w:numPr>
          <w:ilvl w:val="0"/>
          <w:numId w:val="1001"/>
        </w:numPr>
      </w:pPr>
      <w:r>
        <w:t xml:space="preserve">Brudvig 2017 among restoration outcomes and in comparison to reference</w:t>
      </w:r>
    </w:p>
    <w:p>
      <w:pPr>
        <w:numPr>
          <w:ilvl w:val="0"/>
          <w:numId w:val="1001"/>
        </w:numPr>
      </w:pPr>
      <w:r>
        <w:t xml:space="preserve">Substrate modification to influence habitat filtering</w:t>
      </w:r>
    </w:p>
    <w:p>
      <w:pPr>
        <w:numPr>
          <w:ilvl w:val="0"/>
          <w:numId w:val="1001"/>
        </w:numPr>
      </w:pPr>
      <w:r>
        <w:t xml:space="preserve">Sowing a typical approach + priority effects + species pool</w:t>
      </w:r>
    </w:p>
    <w:p>
      <w:pPr>
        <w:numPr>
          <w:ilvl w:val="0"/>
          <w:numId w:val="1001"/>
        </w:numPr>
      </w:pPr>
      <w:r>
        <w:t xml:space="preserve">Introduce FCS, Recovery time, Persistence</w:t>
      </w:r>
    </w:p>
    <w:p>
      <w:pPr>
        <w:numPr>
          <w:ilvl w:val="0"/>
          <w:numId w:val="1001"/>
        </w:numPr>
      </w:pPr>
      <w:r>
        <w:t xml:space="preserve">Dike grasslands as case study</w:t>
      </w:r>
    </w:p>
    <w:p>
      <w:pPr>
        <w:numPr>
          <w:ilvl w:val="0"/>
          <w:numId w:val="1001"/>
        </w:numPr>
      </w:pPr>
      <w:r>
        <w:t xml:space="preserve">The aim of the study is</w:t>
      </w:r>
    </w:p>
    <w:p>
      <w:pPr>
        <w:pStyle w:val="FirstParagraph"/>
      </w:pPr>
      <w:r>
        <w:t xml:space="preserve">We asked following question to evaluate the restoration success after four years:</w:t>
      </w:r>
    </w:p>
    <w:p>
      <w:pPr>
        <w:numPr>
          <w:ilvl w:val="0"/>
          <w:numId w:val="1002"/>
        </w:numPr>
      </w:pPr>
      <w:r>
        <w:t xml:space="preserve">How strong differs the persistence of the sown species among the seed mixture-substrate combinations?</w:t>
      </w:r>
    </w:p>
    <w:p>
      <w:pPr>
        <w:numPr>
          <w:ilvl w:val="0"/>
          <w:numId w:val="1002"/>
        </w:numPr>
      </w:pPr>
      <w:r>
        <w:t xml:space="preserve">How strong differs the Favourable Conservation Status (FCS) among the seed mixture-substrate combinations?</w:t>
      </w:r>
    </w:p>
    <w:p>
      <w:pPr>
        <w:numPr>
          <w:ilvl w:val="0"/>
          <w:numId w:val="1002"/>
        </w:numPr>
      </w:pPr>
      <w:r>
        <w:t xml:space="preserve">How close is the vegetation to the reference state?</w:t>
      </w:r>
    </w:p>
    <w:p>
      <w:r>
        <w:br w:type="page"/>
      </w:r>
    </w:p>
    <w:bookmarkEnd w:id="24"/>
    <w:bookmarkStart w:id="28" w:name="material-methods"/>
    <w:p>
      <w:pPr>
        <w:pStyle w:val="berschrift1"/>
      </w:pPr>
      <w:r>
        <w:rPr>
          <w:rStyle w:val="SectionNumber"/>
        </w:rPr>
        <w:t xml:space="preserve">3</w:t>
      </w:r>
      <w:r>
        <w:tab/>
      </w:r>
      <w:r>
        <w:t xml:space="preserve">Material &amp; Methods</w:t>
      </w:r>
    </w:p>
    <w:bookmarkStart w:id="25" w:name="experimental-design"/>
    <w:p>
      <w:pPr>
        <w:pStyle w:val="berschrift2"/>
      </w:pPr>
      <w:r>
        <w:t xml:space="preserve">Experimental design</w:t>
      </w:r>
    </w:p>
    <w:p>
      <w:pPr>
        <w:pStyle w:val="FirstParagraph"/>
      </w:pPr>
      <w:r>
        <w:t xml:space="preserve">The seed mixture-substrate combination were tested with an experiment on a dike of the River Danube in SE Germany, which was established in March 2018 (Figure</w:t>
      </w:r>
      <w:r>
        <w:t xml:space="preserve"> </w:t>
      </w:r>
      <w:r>
        <w:t xml:space="preserve">6.1</w:t>
      </w:r>
      <w:r>
        <w:t xml:space="preserve">), 314 m above sea level (asl); WGS84 (lat/lon), 48.83895, 12.88412). The climate is temperate-suboceanic with a mean annual temperature of 8.4 °C and precipitation of 984 mm</w:t>
      </w:r>
      <w:r>
        <w:t xml:space="preserve"> </w:t>
      </w:r>
      <w:r>
        <w:t xml:space="preserve">(Deutscher Wetterdienst 2021)</w:t>
      </w:r>
      <w:r>
        <w:t xml:space="preserve">. During the study, three exceptionally dry years (2018–2020) occurred</w:t>
      </w:r>
      <w:r>
        <w:t xml:space="preserve"> </w:t>
      </w:r>
      <w:r>
        <w:t xml:space="preserve">(Climate Data Center of the German Meteorological Service 2022a; Climate Data Center of the German Meteorological Service 2022b)</w:t>
      </w:r>
      <w:r>
        <w:t xml:space="preserve">, and three minor floods which did not reach the plots</w:t>
      </w:r>
      <w:r>
        <w:t xml:space="preserve"> </w:t>
      </w:r>
      <w:r>
        <w:t xml:space="preserve">Bayerisches Landesamt für Umwelt (2021b)</w:t>
      </w:r>
      <w:r>
        <w:t xml:space="preserve"> </w:t>
      </w:r>
      <w:r>
        <w:t xml:space="preserve">(Table</w:t>
      </w:r>
      <w:r>
        <w:t xml:space="preserve"> </w:t>
      </w:r>
      <w:r>
        <w:t xml:space="preserve">??</w:t>
      </w:r>
      <w:r>
        <w:t xml:space="preserve">). Regional sand (0–4 mm) was used to lean the substrate and the soil was taken from the dike</w:t>
      </w:r>
      <w:r>
        <w:t xml:space="preserve"> </w:t>
      </w:r>
      <w:r>
        <w:t xml:space="preserve"> </w:t>
      </w:r>
      <w:r>
        <w:t xml:space="preserve">and a with an excavator the substrates were mixed</w:t>
      </w:r>
      <w:r>
        <w:t xml:space="preserve"> </w:t>
      </w:r>
      <w:r>
        <w:t xml:space="preserve"> </w:t>
      </w:r>
      <w:r>
        <w:t xml:space="preserve">and the plots prepared. The target vegetation were lowland hay meadows (Arrhenatherion elatioris, CM01A) and calcareous grassland (Cirsio-Brachypodion pinnati, DA01B code of the EuroVegChecklist,</w:t>
      </w:r>
      <w:r>
        <w:t xml:space="preserve"> </w:t>
      </w:r>
      <w:r>
        <w:t xml:space="preserve">Mucina et al. (2016)</w:t>
      </w:r>
      <w:r>
        <w:t xml:space="preserve"> </w:t>
      </w:r>
      <w:r>
        <w:t xml:space="preserve">). The species pool of hay meadows and calcareous grasslands consisted of 55 and 58 species</w:t>
      </w:r>
      <w:r>
        <w:t xml:space="preserve"> </w:t>
      </w:r>
      <w:r>
        <w:t xml:space="preserve">, respectively. The seeds were received from a commercial producer of autochtonous seeds. From the species pools, 20 species were randomly selected for each plot. The seed mixtures always contained seven grasses (60 wt% of total seed mixture), three legumes (5%) and ten herbs (35%) (Table</w:t>
      </w:r>
      <w:r>
        <w:t xml:space="preserve"> </w:t>
      </w:r>
      <w:r>
        <w:t xml:space="preserve">??</w:t>
      </w:r>
      <w:r>
        <w:t xml:space="preserve">)</w:t>
      </w:r>
      <w:r>
        <w:t xml:space="preserve">. The community-weighted means (CWM) of functional traits differed between the seed mixture types (Table</w:t>
      </w:r>
      <w:r>
        <w:t xml:space="preserve"> </w:t>
      </w:r>
      <w:r>
        <w:t xml:space="preserve">??</w:t>
      </w:r>
      <w:r>
        <w:t xml:space="preserve">)</w:t>
      </w:r>
      <w:r>
        <w:t xml:space="preserve"> </w:t>
      </w:r>
      <w:r>
        <w:t xml:space="preserve">. The management started with a cut without hay removal and a mowing height of 20 cm in August 2018, followed by</w:t>
      </w:r>
      <w:r>
        <w:t xml:space="preserve"> </w:t>
      </w:r>
      <w:r>
        <w:t xml:space="preserve">‘</w:t>
      </w:r>
      <w:r>
        <w:t xml:space="preserve">normal</w:t>
      </w:r>
      <w:r>
        <w:t xml:space="preserve">’</w:t>
      </w:r>
      <w:r>
        <w:t xml:space="preserve"> </w:t>
      </w:r>
      <w:r>
        <w:t xml:space="preserve">deep cuts with hay removal in July 2019 and 2020. In October 2018, Bromus hordeaceus was seeded as a nursery grass to provide safe sites under drought conditions.</w:t>
      </w:r>
    </w:p>
    <w:p>
      <w:pPr>
        <w:pStyle w:val="Textkrper"/>
      </w:pPr>
      <w:r>
        <w:t xml:space="preserve">We used 288 plots of the size 2.0 m × 2.0 m which were distributed over the north and south exposition of the dike and arranged in six blocks (= replicates). The experiment used a split plot design combined with randomized complete block design (Figure</w:t>
      </w:r>
      <w:r>
        <w:t xml:space="preserve"> </w:t>
      </w:r>
      <w:r>
        <w:t xml:space="preserve">6.1</w:t>
      </w:r>
      <w:r>
        <w:t xml:space="preserve">). The split plot was caused by testing all 24 treatments on both sides of the dike. We tested three substrates with 0%, 25% and 50% sand admixture and two soil depths (15 vs. 30 cm). Below the substrate, a drainage layer of 5 cm consisting of gravel (0–16 mm) was installed. The sand admixture changed the soil texture, increased the C/N ratio, but reduced the ratio of Calciumcarbonat, and hardly changed the pH (Table</w:t>
      </w:r>
      <w:r>
        <w:t xml:space="preserve"> </w:t>
      </w:r>
      <w:r>
        <w:t xml:space="preserve">??</w:t>
      </w:r>
      <w:r>
        <w:t xml:space="preserve">). The two seed mixture types were tested with two seeding densities (</w:t>
      </w:r>
      <w:r>
        <w:rPr>
          <w:bCs/>
          <w:b/>
        </w:rPr>
        <w:t xml:space="preserve">4 vs. 8 g m^-2</w:t>
      </w:r>
      <w:r>
        <w:t xml:space="preserve"> </w:t>
      </w:r>
      <w:r>
        <w:t xml:space="preserve">). The vegetation was surveyed in June or July 2018–2021</w:t>
      </w:r>
      <w:r>
        <w:t xml:space="preserve"> </w:t>
      </w:r>
      <w:r>
        <w:t xml:space="preserve">(Braun-Blanquet 1964)</w:t>
      </w:r>
      <w:r>
        <w:t xml:space="preserve"> </w:t>
      </w:r>
      <w:r>
        <w:t xml:space="preserve">and Londo scale was used</w:t>
      </w:r>
      <w:r>
        <w:t xml:space="preserve"> </w:t>
      </w:r>
      <w:r>
        <w:t xml:space="preserve">(Londo 1976)</w:t>
      </w:r>
      <w:r>
        <w:t xml:space="preserve">. Establishment rates of species</w:t>
      </w:r>
      <w:r>
        <w:t xml:space="preserve"> </w:t>
      </w:r>
      <w:r>
        <w:t xml:space="preserve">.</w:t>
      </w:r>
    </w:p>
    <w:bookmarkEnd w:id="25"/>
    <w:bookmarkStart w:id="27" w:name="statistical-analyses"/>
    <w:p>
      <w:pPr>
        <w:pStyle w:val="berschrift2"/>
      </w:pPr>
      <w:r>
        <w:t xml:space="preserve">Statistical analyses</w:t>
      </w:r>
    </w:p>
    <w:p>
      <w:pPr>
        <w:pStyle w:val="FirstParagraph"/>
      </w:pPr>
      <w:r>
        <w:t xml:space="preserve">A non-metric multidimensional scaling ordination (NMDS) with Jaccard dissimilarity was used to visualize variation in species composition in space and time. Rare species with an accumulated cover over all plots of less than 0.5% were excluded (2D-stress: 0.21).</w:t>
      </w:r>
    </w:p>
    <w:p>
      <w:pPr>
        <w:pStyle w:val="Textkrper"/>
      </w:pPr>
      <w:r>
        <w:t xml:space="preserve">To measure the effects of the treatments on our three response variables, we calculated Bayesian linear mixed effects models (BLMM) with the random effect plot nested in block with the Cauchy prior</w:t>
      </w:r>
      <w:r>
        <w:t xml:space="preserve"> </w:t>
      </w:r>
      <w:r>
        <w:t xml:space="preserve">(see Lemoine &amp; Svenning 2022)</w:t>
      </w:r>
      <w:r>
        <w:t xml:space="preserve">. Furthermore, we included as a fixed effect the botanists of each plot. For the simple effects of the treatments we chose plausible weakly informative priors. To evaluate the influence of the priors, prior predictive checks and models with non-informative priors were calculated. For the computation, we used 4 chains, a thinning rate of 2, 5,000 iterations for warm-up and 10,000 in total. For evaluating the computation, MCMC chain convergence was checked with trace plots and by the R-hat values and MCMC chain resolution by the effective sampling size (ESS). Posterior predictive check was done with Kernel density estimates histograms of statistics skew and leave-one-out (LOO) cross-validation</w:t>
      </w:r>
      <w:r>
        <w:t xml:space="preserve"> </w:t>
      </w:r>
      <w:r>
        <w:t xml:space="preserve">(see Gabry et al. 2019)</w:t>
      </w:r>
      <w:r>
        <w:t xml:space="preserve">. Finally, models were compared with the Bayes factor (BF) and Bayesian</w:t>
      </w:r>
      <w:r>
        <w:t xml:space="preserve"> </w:t>
      </w:r>
      <w:r>
        <w:rPr>
          <w:iCs/>
          <w:i/>
        </w:rPr>
        <w:t xml:space="preserve">R</w:t>
      </w:r>
      <w:r>
        <w:t xml:space="preserve">² values</w:t>
      </w:r>
      <w:r>
        <w:t xml:space="preserve"> </w:t>
      </w:r>
      <w:r>
        <w:t xml:space="preserve">(Gelman et al. 2019)</w:t>
      </w:r>
      <w:r>
        <w:t xml:space="preserve">.</w:t>
      </w:r>
    </w:p>
    <w:p>
      <w:pPr>
        <w:pStyle w:val="Textkrper"/>
      </w:pPr>
      <w:r>
        <w:t xml:space="preserve">The software and the whole model specification and evaluation is stored on Zenodo</w:t>
      </w:r>
      <w:r>
        <w:t xml:space="preserve"> </w:t>
      </w:r>
      <w:r>
        <w:t xml:space="preserve"> </w:t>
      </w:r>
      <w:r>
        <w:t xml:space="preserve">and in an easily accessible a scroll-down document on GitHub (</w:t>
      </w:r>
      <w:hyperlink r:id="rId26">
        <w:r>
          <w:rPr>
            <w:rStyle w:val="Hyperlink"/>
          </w:rPr>
          <w:t xml:space="preserve">https://github.com/markus1bauer/2023_danube_dike_experiment/blob/main/markdown/</w:t>
        </w:r>
      </w:hyperlink>
      <w:r>
        <w:t xml:space="preserve">). There, the sections are referenced to the Bayesian analysis reporting guidelines</w:t>
      </w:r>
      <w:r>
        <w:t xml:space="preserve"> </w:t>
      </w:r>
      <w:r>
        <w:t xml:space="preserve">(BARG, Kruschke 2021)</w:t>
      </w:r>
      <w:r>
        <w:t xml:space="preserve">.</w:t>
      </w:r>
    </w:p>
    <w:p>
      <w:pPr>
        <w:pStyle w:val="Textkrper"/>
      </w:pPr>
      <w:r>
        <w:t xml:space="preserve">All analyses were performed in R [Version 4.2.2;</w:t>
      </w:r>
      <w:r>
        <w:t xml:space="preserve"> </w:t>
      </w:r>
      <w:r>
        <w:t xml:space="preserve">R Core Team (2022)</w:t>
      </w:r>
      <w:r>
        <w:t xml:space="preserve">] with the functions</w:t>
      </w:r>
      <w:r>
        <w:t xml:space="preserve"> </w:t>
      </w:r>
      <w:r>
        <w:t xml:space="preserve">‘</w:t>
      </w:r>
      <w:r>
        <w:t xml:space="preserve">brm</w:t>
      </w:r>
      <w:r>
        <w:t xml:space="preserve">’</w:t>
      </w:r>
      <w:r>
        <w:t xml:space="preserve"> </w:t>
      </w:r>
      <w:r>
        <w:t xml:space="preserve">from the package</w:t>
      </w:r>
      <w:r>
        <w:t xml:space="preserve"> </w:t>
      </w:r>
      <w:r>
        <w:t xml:space="preserve">‘</w:t>
      </w:r>
      <w:r>
        <w:t xml:space="preserve">brms</w:t>
      </w:r>
      <w:r>
        <w:t xml:space="preserve">’</w:t>
      </w:r>
      <w:r>
        <w:t xml:space="preserve"> </w:t>
      </w:r>
      <w:r>
        <w:t xml:space="preserve">(Bürkner 2017)</w:t>
      </w:r>
      <w:r>
        <w:t xml:space="preserve"> </w:t>
      </w:r>
      <w:r>
        <w:t xml:space="preserve">for model calculation, several functions from</w:t>
      </w:r>
      <w:r>
        <w:t xml:space="preserve"> </w:t>
      </w:r>
      <w:r>
        <w:t xml:space="preserve">‘</w:t>
      </w:r>
      <w:r>
        <w:t xml:space="preserve">brms</w:t>
      </w:r>
      <w:r>
        <w:t xml:space="preserve">’</w:t>
      </w:r>
      <w:r>
        <w:t xml:space="preserve"> </w:t>
      </w:r>
      <w:r>
        <w:t xml:space="preserve">and</w:t>
      </w:r>
      <w:r>
        <w:t xml:space="preserve"> </w:t>
      </w:r>
      <w:r>
        <w:t xml:space="preserve">‘</w:t>
      </w:r>
      <w:r>
        <w:t xml:space="preserve">bayesplot</w:t>
      </w:r>
      <w:r>
        <w:t xml:space="preserve">’</w:t>
      </w:r>
      <w:r>
        <w:t xml:space="preserve"> </w:t>
      </w:r>
      <w:r>
        <w:t xml:space="preserve">(Gabry &amp; Mahr 2022)</w:t>
      </w:r>
      <w:r>
        <w:t xml:space="preserve"> </w:t>
      </w:r>
      <w:r>
        <w:t xml:space="preserve">for model evaluation and</w:t>
      </w:r>
      <w:r>
        <w:t xml:space="preserve"> </w:t>
      </w:r>
      <w:r>
        <w:t xml:space="preserve">‘</w:t>
      </w:r>
      <w:r>
        <w:t xml:space="preserve">metaMDS</w:t>
      </w:r>
      <w:r>
        <w:t xml:space="preserve">’</w:t>
      </w:r>
      <w:r>
        <w:t xml:space="preserve"> </w:t>
      </w:r>
      <w:r>
        <w:t xml:space="preserve">from</w:t>
      </w:r>
      <w:r>
        <w:t xml:space="preserve"> </w:t>
      </w:r>
      <w:r>
        <w:t xml:space="preserve">‘</w:t>
      </w:r>
      <w:r>
        <w:t xml:space="preserve">vegan</w:t>
      </w:r>
      <w:r>
        <w:t xml:space="preserve">’</w:t>
      </w:r>
      <w:r>
        <w:t xml:space="preserve"> </w:t>
      </w:r>
      <w:r>
        <w:t xml:space="preserve">for the ordination</w:t>
      </w:r>
      <w:r>
        <w:t xml:space="preserve"> </w:t>
      </w:r>
      <w:r>
        <w:t xml:space="preserve">(Oksanen et al. 2022)</w:t>
      </w:r>
      <w:r>
        <w:t xml:space="preserve">.</w:t>
      </w:r>
    </w:p>
    <w:p>
      <w:pPr>
        <w:pStyle w:val="Textkrper"/>
      </w:pPr>
      <w:r>
        <w:t xml:space="preserve">To identify the final model, we first reviewed the residual diagnostics of the candidate models and subsequently compared the remaining models using the Akaike information criterion adjusted for a small sample size (AICc) and chose the most parsimonious model (Appendix A4). Finally, we calculated the marginal and conditional coefficients of determination (R²m, R²c) and the 95% confidence intervals of the response variables.</w:t>
      </w:r>
    </w:p>
    <w:p>
      <w:r>
        <w:br w:type="page"/>
      </w:r>
    </w:p>
    <w:bookmarkEnd w:id="27"/>
    <w:bookmarkEnd w:id="28"/>
    <w:bookmarkStart w:id="29" w:name="results"/>
    <w:p>
      <w:pPr>
        <w:pStyle w:val="berschrift1"/>
      </w:pPr>
      <w:r>
        <w:rPr>
          <w:rStyle w:val="SectionNumber"/>
        </w:rPr>
        <w:t xml:space="preserve">4</w:t>
      </w:r>
      <w:r>
        <w:tab/>
      </w:r>
      <w:r>
        <w:t xml:space="preserve">Results</w:t>
      </w:r>
    </w:p>
    <w:p>
      <w:pPr>
        <w:pStyle w:val="FirstParagraph"/>
      </w:pPr>
      <w:r>
        <w:t xml:space="preserve">We could identify a statistically clear positive effect of sand addition on the persistence of sown species and on the recovery rate (Figure</w:t>
      </w:r>
      <w:r>
        <w:t xml:space="preserve"> </w:t>
      </w:r>
      <w:r>
        <w:t xml:space="preserve">??</w:t>
      </w:r>
      <w:r>
        <w:t xml:space="preserve">??</w:t>
      </w:r>
      <w:r>
        <w:t xml:space="preserve">). Furthermore, sown hay meadows were clearly closer to their reference plots than sown dry grasslands were to their references (Figure</w:t>
      </w:r>
      <w:r>
        <w:t xml:space="preserve"> </w:t>
      </w:r>
      <w:r>
        <w:t xml:space="preserve">??</w:t>
      </w:r>
      <w:r>
        <w:t xml:space="preserve">).</w:t>
      </w:r>
    </w:p>
    <w:p>
      <w:pPr>
        <w:pStyle w:val="Textkrper"/>
      </w:pPr>
      <w:r>
        <w:t xml:space="preserve">The posterior distributions shown in the interactions plots which separates exposition and survey year is less clear.</w:t>
      </w:r>
      <w:r>
        <w:t xml:space="preserve"> </w:t>
      </w:r>
    </w:p>
    <w:p>
      <w:r>
        <w:br w:type="page"/>
      </w:r>
    </w:p>
    <w:bookmarkEnd w:id="29"/>
    <w:bookmarkStart w:id="30" w:name="discussion"/>
    <w:p>
      <w:pPr>
        <w:pStyle w:val="berschrift1"/>
      </w:pPr>
      <w:r>
        <w:rPr>
          <w:rStyle w:val="SectionNumber"/>
        </w:rPr>
        <w:t xml:space="preserve">5</w:t>
      </w:r>
      <w:r>
        <w:tab/>
      </w:r>
      <w:r>
        <w:t xml:space="preserve">Discussion</w:t>
      </w:r>
    </w:p>
    <w:p>
      <w:pPr>
        <w:pStyle w:val="FirstParagraph"/>
      </w:pPr>
      <w:r>
        <w:t xml:space="preserve">Mention drought in 2018 and 2019</w:t>
      </w:r>
    </w:p>
    <w:p>
      <w:r>
        <w:br w:type="page"/>
      </w:r>
    </w:p>
    <w:bookmarkEnd w:id="30"/>
    <w:bookmarkStart w:id="31" w:name="conclusions"/>
    <w:p>
      <w:pPr>
        <w:pStyle w:val="berschrift1"/>
      </w:pPr>
      <w:r>
        <w:rPr>
          <w:rStyle w:val="SectionNumber"/>
        </w:rPr>
        <w:t xml:space="preserve">6</w:t>
      </w:r>
      <w:r>
        <w:tab/>
      </w:r>
      <w:r>
        <w:t xml:space="preserve">Conclusions</w:t>
      </w:r>
    </w:p>
    <w:p>
      <w:pPr>
        <w:pStyle w:val="FirstParagraph"/>
      </w:pPr>
      <w:r>
        <w:t xml:space="preserve">Text</w:t>
      </w:r>
    </w:p>
    <w:p>
      <w:r>
        <w:br w:type="page"/>
      </w:r>
    </w:p>
    <w:bookmarkEnd w:id="31"/>
    <w:bookmarkStart w:id="32" w:name="acknowledgements"/>
    <w:p>
      <w:pPr>
        <w:pStyle w:val="berschrift1"/>
      </w:pPr>
      <w:r>
        <w:t xml:space="preserve">Acknowledgements</w:t>
      </w:r>
    </w:p>
    <w:p>
      <w:pPr>
        <w:pStyle w:val="FirstParagraph"/>
      </w:pPr>
      <w:r>
        <w:t xml:space="preserve">We would like to thank our project partners Dr. Markus Fischer, Frank Schuster, and Christoph Schwahn (WIGES GmbH) and Klaus Rachl and Stefan Radlmair (Regierung von Niederbayern) for numerous discussions on restoration and management of dike grasslands. Field work was supported by Clemens Berger and Uwe Kleber-Lerchbaumer (Wasserwirtschaftsamt Deggendorf). We thank Holger Paetsch, Simon Reith, Anna Ritter, Jakob Strak, Leonardo H. Teixeira, and Linda Weggler for assisting with the field surveys or soil analyses in 2018–2020. The German Federal Environmental Foundation (DBU) supported MB with a doctoral scholarship.</w:t>
      </w:r>
    </w:p>
    <w:bookmarkEnd w:id="32"/>
    <w:bookmarkStart w:id="33" w:name="author-contribution"/>
    <w:p>
      <w:pPr>
        <w:pStyle w:val="berschrift1"/>
      </w:pPr>
      <w:r>
        <w:t xml:space="preserve">Author contribution</w:t>
      </w:r>
    </w:p>
    <w:p>
      <w:pPr>
        <w:pStyle w:val="FirstParagraph"/>
      </w:pPr>
      <w:r>
        <w:t xml:space="preserve">JH and JK designed the experiment. JH did the surveys in the years 2018–2020 and MB in 2019 and 2021. MB did the analyses and wrote the manuscript. JK and JH critically revised the manuscript.</w:t>
      </w:r>
    </w:p>
    <w:bookmarkEnd w:id="33"/>
    <w:bookmarkStart w:id="35" w:name="open-research"/>
    <w:p>
      <w:pPr>
        <w:pStyle w:val="berschrift1"/>
      </w:pPr>
      <w:r>
        <w:t xml:space="preserve">Open research</w:t>
      </w:r>
    </w:p>
    <w:p>
      <w:pPr>
        <w:pStyle w:val="FirstParagraph"/>
      </w:pPr>
      <w:r>
        <w:t xml:space="preserve">Data and code is available on Zenodo:</w:t>
      </w:r>
      <w:r>
        <w:t xml:space="preserve"> </w:t>
      </w:r>
    </w:p>
    <w:p>
      <w:pPr>
        <w:pStyle w:val="Textkrper"/>
      </w:pPr>
      <w:r>
        <w:t xml:space="preserve">Model evaluation is stored on GitHub:</w:t>
      </w:r>
      <w:r>
        <w:t xml:space="preserve"> </w:t>
      </w:r>
      <w:hyperlink r:id="rId34">
        <w:r>
          <w:rPr>
            <w:rStyle w:val="Hyperlink"/>
          </w:rPr>
          <w:t xml:space="preserve">github.com/markus1bauer/2023_danube_dike_experiment</w:t>
        </w:r>
      </w:hyperlink>
    </w:p>
    <w:bookmarkEnd w:id="35"/>
    <w:bookmarkStart w:id="36" w:name="funding"/>
    <w:p>
      <w:pPr>
        <w:pStyle w:val="berschrift1"/>
      </w:pPr>
      <w:r>
        <w:t xml:space="preserve">Funding</w:t>
      </w:r>
    </w:p>
    <w:p>
      <w:pPr>
        <w:pStyle w:val="FirstParagraph"/>
      </w:pPr>
      <w:r>
        <w:t xml:space="preserve">MB is funded by a doctoral scholarship of the German Federal Environmental Foundation (DBU) (No. 20021/698). The establishment of the experiment and the vegetation surveys were financed by the WIGES GmbH in the years 2018–2020.</w:t>
      </w:r>
      <w:r>
        <w:t xml:space="preserve"> </w:t>
      </w:r>
    </w:p>
    <w:bookmarkEnd w:id="36"/>
    <w:bookmarkStart w:id="68" w:name="references"/>
    <w:p>
      <w:pPr>
        <w:pStyle w:val="berschrift1"/>
      </w:pPr>
      <w:r>
        <w:t xml:space="preserve">References</w:t>
      </w:r>
    </w:p>
    <w:bookmarkStart w:id="67" w:name="refs"/>
    <w:bookmarkStart w:id="38" w:name="ref-lfu2021waterlevel"/>
    <w:p>
      <w:pPr>
        <w:pStyle w:val="Literaturverzeichnis"/>
      </w:pPr>
      <w:r>
        <w:t xml:space="preserve">Bayerisches Landesamt für Umwelt. 2021a.</w:t>
      </w:r>
      <w:r>
        <w:t xml:space="preserve"> </w:t>
      </w:r>
      <w:hyperlink r:id="rId37">
        <w:r>
          <w:rPr>
            <w:rStyle w:val="Hyperlink"/>
          </w:rPr>
          <w:t xml:space="preserve">Discharge pfelling / donau</w:t>
        </w:r>
      </w:hyperlink>
      <w:r>
        <w:t xml:space="preserve">.</w:t>
      </w:r>
    </w:p>
    <w:bookmarkEnd w:id="38"/>
    <w:bookmarkStart w:id="39" w:name="ref-lfu2021discharge"/>
    <w:p>
      <w:pPr>
        <w:pStyle w:val="Literaturverzeichnis"/>
      </w:pPr>
      <w:r>
        <w:t xml:space="preserve">Bayerisches Landesamt für Umwelt. 2021b.</w:t>
      </w:r>
      <w:r>
        <w:t xml:space="preserve"> </w:t>
      </w:r>
      <w:hyperlink r:id="rId37">
        <w:r>
          <w:rPr>
            <w:rStyle w:val="Hyperlink"/>
          </w:rPr>
          <w:t xml:space="preserve">Discharge pfelling / donau</w:t>
        </w:r>
      </w:hyperlink>
      <w:r>
        <w:t xml:space="preserve">.</w:t>
      </w:r>
    </w:p>
    <w:bookmarkEnd w:id="39"/>
    <w:bookmarkStart w:id="41" w:name="ref-BraunBlanquet.1964"/>
    <w:p>
      <w:pPr>
        <w:pStyle w:val="Literaturverzeichnis"/>
      </w:pPr>
      <w:r>
        <w:t xml:space="preserve">Braun-Blanquet, J. 1964.</w:t>
      </w:r>
      <w:r>
        <w:t xml:space="preserve"> </w:t>
      </w:r>
      <w:hyperlink r:id="rId40">
        <w:r>
          <w:rPr>
            <w:rStyle w:val="Hyperlink"/>
            <w:iCs/>
            <w:i/>
          </w:rPr>
          <w:t xml:space="preserve">Pflanzensoziologie: Grundzüge der vegetationskunde</w:t>
        </w:r>
      </w:hyperlink>
      <w:r>
        <w:t xml:space="preserve">. Springer, Wien; New York.</w:t>
      </w:r>
    </w:p>
    <w:bookmarkEnd w:id="41"/>
    <w:bookmarkStart w:id="43" w:name="ref-brms"/>
    <w:p>
      <w:pPr>
        <w:pStyle w:val="Literaturverzeichnis"/>
      </w:pPr>
      <w:r>
        <w:t xml:space="preserve">Bürkner, P.-C. 2017.</w:t>
      </w:r>
      <w:r>
        <w:t xml:space="preserve"> </w:t>
      </w:r>
      <w:hyperlink r:id="rId42">
        <w:r>
          <w:rPr>
            <w:rStyle w:val="Hyperlink"/>
          </w:rPr>
          <w:t xml:space="preserve">Brms</w:t>
        </w:r>
        <w:r>
          <w:rPr>
            <w:rStyle w:val="Hyperlink"/>
          </w:rPr>
          <w:t xml:space="preserve">: An</w:t>
        </w:r>
        <w:r>
          <w:rPr>
            <w:rStyle w:val="Hyperlink"/>
          </w:rPr>
          <w:t xml:space="preserve"> </w:t>
        </w:r>
        <w:r>
          <w:rPr>
            <w:rStyle w:val="Hyperlink"/>
          </w:rPr>
          <w:t xml:space="preserve">r</w:t>
        </w:r>
        <w:r>
          <w:rPr>
            <w:rStyle w:val="Hyperlink"/>
          </w:rPr>
          <w:t xml:space="preserve"> </w:t>
        </w:r>
        <w:r>
          <w:rPr>
            <w:rStyle w:val="Hyperlink"/>
          </w:rPr>
          <w:t xml:space="preserve">package for</w:t>
        </w:r>
        <w:r>
          <w:rPr>
            <w:rStyle w:val="Hyperlink"/>
          </w:rPr>
          <w:t xml:space="preserve"> </w:t>
        </w:r>
        <w:r>
          <w:rPr>
            <w:rStyle w:val="Hyperlink"/>
          </w:rPr>
          <w:t xml:space="preserve">bayesian</w:t>
        </w:r>
        <w:r>
          <w:rPr>
            <w:rStyle w:val="Hyperlink"/>
          </w:rPr>
          <w:t xml:space="preserve"> </w:t>
        </w:r>
        <w:r>
          <w:rPr>
            <w:rStyle w:val="Hyperlink"/>
          </w:rPr>
          <w:t xml:space="preserve">multilevel models using</w:t>
        </w:r>
        <w:r>
          <w:rPr>
            <w:rStyle w:val="Hyperlink"/>
          </w:rPr>
          <w:t xml:space="preserve"> </w:t>
        </w:r>
        <w:r>
          <w:rPr>
            <w:rStyle w:val="Hyperlink"/>
          </w:rPr>
          <w:t xml:space="preserve">stan</w:t>
        </w:r>
      </w:hyperlink>
      <w:r>
        <w:t xml:space="preserve">. 80:</w:t>
      </w:r>
    </w:p>
    <w:bookmarkEnd w:id="43"/>
    <w:bookmarkStart w:id="45" w:name="ref-cdc2022temp"/>
    <w:p>
      <w:pPr>
        <w:pStyle w:val="Literaturverzeichnis"/>
      </w:pPr>
      <w:r>
        <w:t xml:space="preserve">Climate Data Center of the German Meteorological Service. 2022a.</w:t>
      </w:r>
      <w:r>
        <w:t xml:space="preserve"> </w:t>
      </w:r>
      <w:hyperlink r:id="rId44">
        <w:r>
          <w:rPr>
            <w:rStyle w:val="Hyperlink"/>
          </w:rPr>
          <w:t xml:space="preserve">Annual station observations of air temperature at 2 m above ground in °c for germany. Version v21.3: Station metten</w:t>
        </w:r>
      </w:hyperlink>
      <w:r>
        <w:t xml:space="preserve">.</w:t>
      </w:r>
    </w:p>
    <w:bookmarkEnd w:id="45"/>
    <w:bookmarkStart w:id="46" w:name="ref-cdc2022prec"/>
    <w:p>
      <w:pPr>
        <w:pStyle w:val="Literaturverzeichnis"/>
      </w:pPr>
      <w:r>
        <w:t xml:space="preserve">Climate Data Center of the German Meteorological Service. 2022b.</w:t>
      </w:r>
      <w:r>
        <w:t xml:space="preserve"> </w:t>
      </w:r>
      <w:hyperlink r:id="rId44">
        <w:r>
          <w:rPr>
            <w:rStyle w:val="Hyperlink"/>
          </w:rPr>
          <w:t xml:space="preserve">Annual station observations of precipitation in mm for germany. Version v21.3: Station metten</w:t>
        </w:r>
      </w:hyperlink>
      <w:r>
        <w:t xml:space="preserve">.</w:t>
      </w:r>
    </w:p>
    <w:bookmarkEnd w:id="46"/>
    <w:bookmarkStart w:id="48" w:name="ref-dwd2021"/>
    <w:p>
      <w:pPr>
        <w:pStyle w:val="Literaturverzeichnis"/>
      </w:pPr>
      <w:r>
        <w:t xml:space="preserve">Deutscher Wetterdienst. 2021.</w:t>
      </w:r>
      <w:r>
        <w:t xml:space="preserve"> </w:t>
      </w:r>
      <w:hyperlink r:id="rId47">
        <w:r>
          <w:rPr>
            <w:rStyle w:val="Hyperlink"/>
          </w:rPr>
          <w:t xml:space="preserve">Langjähriges mittel der wetterstation metten 1981-2010</w:t>
        </w:r>
      </w:hyperlink>
      <w:r>
        <w:t xml:space="preserve">.</w:t>
      </w:r>
    </w:p>
    <w:bookmarkEnd w:id="48"/>
    <w:bookmarkStart w:id="50" w:name="ref-bayesplot"/>
    <w:p>
      <w:pPr>
        <w:pStyle w:val="Literaturverzeichnis"/>
      </w:pPr>
      <w:r>
        <w:t xml:space="preserve">Gabry, J., &amp; Mahr, T. 2022.</w:t>
      </w:r>
      <w:r>
        <w:t xml:space="preserve"> </w:t>
      </w:r>
      <w:hyperlink r:id="rId49">
        <w:r>
          <w:rPr>
            <w:rStyle w:val="Hyperlink"/>
          </w:rPr>
          <w:t xml:space="preserve">Bayesplot: Plotting for bayesian models</w:t>
        </w:r>
      </w:hyperlink>
      <w:r>
        <w:t xml:space="preserve">.</w:t>
      </w:r>
    </w:p>
    <w:bookmarkEnd w:id="50"/>
    <w:bookmarkStart w:id="52" w:name="ref-gabry2019"/>
    <w:p>
      <w:pPr>
        <w:pStyle w:val="Literaturverzeichnis"/>
      </w:pPr>
      <w:r>
        <w:t xml:space="preserve">Gabry, J., Simpson, D., Vehtari, A., Betancourt, M., &amp; Gelman, A. 2019.</w:t>
      </w:r>
      <w:r>
        <w:t xml:space="preserve"> </w:t>
      </w:r>
      <w:hyperlink r:id="rId51">
        <w:r>
          <w:rPr>
            <w:rStyle w:val="Hyperlink"/>
          </w:rPr>
          <w:t xml:space="preserve">Visualization in bayesian workflow</w:t>
        </w:r>
      </w:hyperlink>
      <w:r>
        <w:t xml:space="preserve">.</w:t>
      </w:r>
      <w:r>
        <w:t xml:space="preserve"> </w:t>
      </w:r>
      <w:r>
        <w:rPr>
          <w:iCs/>
          <w:i/>
        </w:rPr>
        <w:t xml:space="preserve">Journal of the Royal Statistical Society: Series A (Statistics in Society)</w:t>
      </w:r>
      <w:r>
        <w:t xml:space="preserve"> </w:t>
      </w:r>
      <w:r>
        <w:t xml:space="preserve">182: 389402.</w:t>
      </w:r>
    </w:p>
    <w:bookmarkEnd w:id="52"/>
    <w:bookmarkStart w:id="54" w:name="ref-gelman2019"/>
    <w:p>
      <w:pPr>
        <w:pStyle w:val="Literaturverzeichnis"/>
      </w:pPr>
      <w:r>
        <w:t xml:space="preserve">Gelman, A., Goodrich, B., Gabry, J., &amp; Vehtari, A. 2019.</w:t>
      </w:r>
      <w:r>
        <w:t xml:space="preserve"> </w:t>
      </w:r>
      <w:hyperlink r:id="rId53">
        <w:r>
          <w:rPr>
            <w:rStyle w:val="Hyperlink"/>
          </w:rPr>
          <w:t xml:space="preserve">R-squared for Bayesian Regression Models</w:t>
        </w:r>
      </w:hyperlink>
      <w:r>
        <w:t xml:space="preserve">.</w:t>
      </w:r>
      <w:r>
        <w:t xml:space="preserve"> </w:t>
      </w:r>
      <w:r>
        <w:rPr>
          <w:iCs/>
          <w:i/>
        </w:rPr>
        <w:t xml:space="preserve">The American Statistician</w:t>
      </w:r>
      <w:r>
        <w:t xml:space="preserve"> </w:t>
      </w:r>
      <w:r>
        <w:t xml:space="preserve">73: 307–309.</w:t>
      </w:r>
    </w:p>
    <w:bookmarkEnd w:id="54"/>
    <w:bookmarkStart w:id="56" w:name="ref-kruschke2021"/>
    <w:p>
      <w:pPr>
        <w:pStyle w:val="Literaturverzeichnis"/>
      </w:pPr>
      <w:r>
        <w:t xml:space="preserve">Kruschke, J.K. 2021.</w:t>
      </w:r>
      <w:r>
        <w:t xml:space="preserve"> </w:t>
      </w:r>
      <w:hyperlink r:id="rId55">
        <w:r>
          <w:rPr>
            <w:rStyle w:val="Hyperlink"/>
          </w:rPr>
          <w:t xml:space="preserve">Bayesian analysis reporting guidelines</w:t>
        </w:r>
      </w:hyperlink>
      <w:r>
        <w:t xml:space="preserve">.</w:t>
      </w:r>
      <w:r>
        <w:t xml:space="preserve"> </w:t>
      </w:r>
      <w:r>
        <w:rPr>
          <w:iCs/>
          <w:i/>
        </w:rPr>
        <w:t xml:space="preserve">Nature Human Behaviour</w:t>
      </w:r>
      <w:r>
        <w:t xml:space="preserve"> </w:t>
      </w:r>
      <w:r>
        <w:t xml:space="preserve">5: 12821291.</w:t>
      </w:r>
    </w:p>
    <w:bookmarkEnd w:id="56"/>
    <w:bookmarkStart w:id="58" w:name="ref-lemoine2022"/>
    <w:p>
      <w:pPr>
        <w:pStyle w:val="Literaturverzeichnis"/>
      </w:pPr>
      <w:r>
        <w:t xml:space="preserve">Lemoine, R.T., &amp; Svenning, J.-C. 2022. Nativeness is not binary</w:t>
      </w:r>
      <w:r>
        <w:t xml:space="preserve">a graduated terminology for native and non</w:t>
      </w:r>
      <w:r>
        <w:t xml:space="preserve">-</w:t>
      </w:r>
      <w:r>
        <w:t xml:space="preserve">native species in the Anthropocene.</w:t>
      </w:r>
      <w:r>
        <w:t xml:space="preserve"> </w:t>
      </w:r>
      <w:r>
        <w:rPr>
          <w:iCs/>
          <w:i/>
        </w:rPr>
        <w:t xml:space="preserve">Restoration Ecology</w:t>
      </w:r>
      <w:r>
        <w:t xml:space="preserve">. doi:</w:t>
      </w:r>
      <w:r>
        <w:t xml:space="preserve"> </w:t>
      </w:r>
      <w:hyperlink r:id="rId57">
        <w:r>
          <w:rPr>
            <w:rStyle w:val="Hyperlink"/>
          </w:rPr>
          <w:t xml:space="preserve">10.1111/rec.13636</w:t>
        </w:r>
      </w:hyperlink>
    </w:p>
    <w:bookmarkEnd w:id="58"/>
    <w:bookmarkStart w:id="60" w:name="ref-londo1976"/>
    <w:p>
      <w:pPr>
        <w:pStyle w:val="Literaturverzeichnis"/>
      </w:pPr>
      <w:r>
        <w:t xml:space="preserve">Londo, G. 1976.</w:t>
      </w:r>
      <w:r>
        <w:t xml:space="preserve"> </w:t>
      </w:r>
      <w:hyperlink r:id="rId59">
        <w:r>
          <w:rPr>
            <w:rStyle w:val="Hyperlink"/>
          </w:rPr>
          <w:t xml:space="preserve">The decimal scale for releves of permanent quadrats</w:t>
        </w:r>
      </w:hyperlink>
      <w:r>
        <w:t xml:space="preserve">.</w:t>
      </w:r>
      <w:r>
        <w:t xml:space="preserve"> </w:t>
      </w:r>
      <w:r>
        <w:rPr>
          <w:iCs/>
          <w:i/>
        </w:rPr>
        <w:t xml:space="preserve">Vegetatio</w:t>
      </w:r>
      <w:r>
        <w:t xml:space="preserve"> </w:t>
      </w:r>
      <w:r>
        <w:t xml:space="preserve">33: 61–64.</w:t>
      </w:r>
    </w:p>
    <w:bookmarkEnd w:id="60"/>
    <w:bookmarkStart w:id="62" w:name="ref-mucina2016"/>
    <w:p>
      <w:pPr>
        <w:pStyle w:val="Literaturverzeichnis"/>
      </w:pPr>
      <w:r>
        <w:t xml:space="preserve">Mucina, L., Bültmann, H., Dierßen, K., Theurillat, J.-P., Raus, T., Čarni, A., Šumberová, K., Willner, W., Dengler, J., García, R.G., Chytrý, M., Hájek, M., Di Pietro, R., Iakushenko, D., Pallas, J., Daniëls, F.J.A., Bergmeier, E., Santos Guerra, A., Ermakov, N., Valachovič, M., Schaminée, J.H.J., Lysenko, T., Didukh, Y.P., Pignatti, S., Rodwell, J.S., Capelo, J., Weber, H.E., Solomeshch, A., Dimopoulos, P., Aguiar, C., Hennekens, S.M., &amp; Tichý, L. 2016.</w:t>
      </w:r>
      <w:r>
        <w:t xml:space="preserve"> </w:t>
      </w:r>
      <w:hyperlink r:id="rId61">
        <w:r>
          <w:rPr>
            <w:rStyle w:val="Hyperlink"/>
          </w:rPr>
          <w:t xml:space="preserve">Vegetation of Europe: hierarchical floristic classification system of vascular plant, bryophyte, lichen, and algal communities</w:t>
        </w:r>
      </w:hyperlink>
      <w:r>
        <w:t xml:space="preserve"> </w:t>
      </w:r>
      <w:r>
        <w:t xml:space="preserve">(R. Peet, Ed.).</w:t>
      </w:r>
      <w:r>
        <w:t xml:space="preserve"> </w:t>
      </w:r>
      <w:r>
        <w:rPr>
          <w:iCs/>
          <w:i/>
        </w:rPr>
        <w:t xml:space="preserve">Applied Vegetation Science</w:t>
      </w:r>
      <w:r>
        <w:t xml:space="preserve"> </w:t>
      </w:r>
      <w:r>
        <w:t xml:space="preserve">19: 3–264.</w:t>
      </w:r>
    </w:p>
    <w:bookmarkEnd w:id="62"/>
    <w:bookmarkStart w:id="64" w:name="ref-vegan"/>
    <w:p>
      <w:pPr>
        <w:pStyle w:val="Literaturverzeichnis"/>
      </w:pPr>
      <w:r>
        <w:t xml:space="preserve">Oksanen, J., Simpson, G.L., Blanchet, F.G., Kindt, R., Legendre, P., Minchin, P.R., O’Hara, R.B., Solymos, P., Stevens, M.H.H., Szoecs, E., Wagner, H., Barbour, M., Bedward, M., Bolker, B., Borcard, D., Carvalho, G., Chirico, M., De Caceres, M., Durand, S., Evangelista, H.B.A., FitzJohn, R., Friendly, M., Furneaux, B., Hannigan, G., Hill, M.O., Lahti, L., McGlinn, D., Ouellette, M.-H., Ribeiro Cunha, E., Smith, T., Stier, A., Ter Braak, C.J.F., &amp; Weedon, J. 2022.</w:t>
      </w:r>
      <w:r>
        <w:t xml:space="preserve"> </w:t>
      </w:r>
      <w:hyperlink r:id="rId63">
        <w:r>
          <w:rPr>
            <w:rStyle w:val="Hyperlink"/>
          </w:rPr>
          <w:t xml:space="preserve">Vegan: Community ecology package</w:t>
        </w:r>
      </w:hyperlink>
      <w:r>
        <w:t xml:space="preserve">.</w:t>
      </w:r>
    </w:p>
    <w:bookmarkEnd w:id="64"/>
    <w:bookmarkStart w:id="66" w:name="ref-base"/>
    <w:p>
      <w:pPr>
        <w:pStyle w:val="Literaturverzeichnis"/>
      </w:pPr>
      <w:r>
        <w:t xml:space="preserve">R Core Team. 2022.</w:t>
      </w:r>
      <w:r>
        <w:t xml:space="preserve"> </w:t>
      </w:r>
      <w:hyperlink r:id="rId65">
        <w:r>
          <w:rPr>
            <w:rStyle w:val="Hyperlink"/>
          </w:rPr>
          <w:t xml:space="preserve">R: A language and environment for statistical computing</w:t>
        </w:r>
      </w:hyperlink>
      <w:r>
        <w:t xml:space="preserve">.</w:t>
      </w:r>
    </w:p>
    <w:bookmarkEnd w:id="66"/>
    <w:bookmarkEnd w:id="67"/>
    <w:p>
      <w:r>
        <w:br w:type="page"/>
      </w:r>
    </w:p>
    <w:bookmarkEnd w:id="68"/>
    <w:bookmarkStart w:id="72" w:name="tables"/>
    <w:p>
      <w:pPr>
        <w:pStyle w:val="berschrift1"/>
      </w:pPr>
      <w:r>
        <w:t xml:space="preserve">Tables</w:t>
      </w:r>
    </w:p>
    <w:bookmarkStart w:id="69" w:name="table-1"/>
    <w:p>
      <w:pPr>
        <w:pStyle w:val="berschrift2"/>
      </w:pPr>
      <w:r>
        <w:rPr>
          <w:rStyle w:val="SectionNumber"/>
        </w:rPr>
        <w:t xml:space="preserve">6.1</w:t>
      </w:r>
      <w:r>
        <w:tab/>
      </w:r>
      <w:r>
        <w:t xml:space="preserve">Table 1</w:t>
      </w:r>
    </w:p>
    <w:p>
      <w:pPr>
        <w:pStyle w:val="FirstParagraph"/>
      </w:pPr>
      <w:r>
        <w:t xml:space="preserve">Mischprobe aus mehreren Plots. Measured in &lt; 2mm fraction</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1322"/>
        <w:gridCol w:w="1783"/>
        <w:gridCol w:w="1924"/>
        <w:gridCol w:w="875"/>
        <w:gridCol w:w="875"/>
        <w:gridCol w:w="875"/>
        <w:gridCol w:w="677"/>
        <w:gridCol w:w="1208"/>
        <w:gridCol w:w="1391"/>
        <w:gridCol w:w="1391"/>
        <w:gridCol w:w="1391"/>
        <w:gridCol w:w="755"/>
        <w:gridCol w:w="1208"/>
      </w:tblGrid>
      <w:tr>
        <w:trPr>
          <w:trHeight w:val="589"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Exposition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Sand admixture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Skeleton (&gt;2 mm)</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Sand</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Silt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Clay</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pH</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P2O5</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K2O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Mg2+</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C/N</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CaCO3</w:t>
            </w:r>
          </w:p>
        </w:tc>
      </w:tr>
      <w:tr>
        <w:trPr>
          <w:trHeight w:val="589" w:hRule="auto"/>
          <w:tblHeader/>
        </w:trPr>
        header2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m3 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cm3 cm−3</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g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mg mg−1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mg 100 g−1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mg mg−1</w:t>
            </w:r>
          </w:p>
        </w:tc>
      </w:tr>
      <w:tr>
        <w:trPr>
          <w:trHeight w:val="552"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North</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12.1</w:t>
            </w:r>
          </w:p>
        </w:tc>
      </w:tr>
      <w:tr>
        <w:trPr>
          <w:trHeight w:val="549"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0.24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8.8</w:t>
            </w:r>
          </w:p>
        </w:tc>
      </w:tr>
      <w:tr>
        <w:trPr>
          <w:trHeight w:val="549"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5.3</w:t>
            </w:r>
          </w:p>
        </w:tc>
      </w:tr>
      <w:tr>
        <w:trPr>
          <w:trHeight w:val="553" w:hRule="auto"/>
        </w:trPr>
        body4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South</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0.37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12.5</w:t>
            </w:r>
          </w:p>
        </w:tc>
      </w:tr>
      <w:tr>
        <w:trPr>
          <w:trHeight w:val="549" w:hRule="auto"/>
        </w:trPr>
        body5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7.3</w:t>
            </w:r>
          </w:p>
        </w:tc>
      </w:tr>
      <w:tr>
        <w:trPr>
          <w:trHeight w:val="549" w:hRule="auto"/>
        </w:trPr>
        body6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0.13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7.3</w:t>
            </w:r>
          </w:p>
        </w:tc>
      </w:tr>
      <w:tr>
        <w:trPr>
          <w:trHeight w:val="411" w:hRule="auto"/>
        </w:trPr>
        body7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r>
    </w:tbl>
    <w:p>
      <w:r>
        <w:br w:type="page"/>
      </w:r>
    </w:p>
    <w:bookmarkEnd w:id="69"/>
    <w:bookmarkStart w:id="70" w:name="table-2"/>
    <w:p>
      <w:pPr>
        <w:pStyle w:val="berschrift2"/>
      </w:pPr>
      <w:r>
        <w:t xml:space="preserve">Table 2</w:t>
      </w:r>
    </w:p>
    <w:p>
      <w:pPr>
        <w:pStyle w:val="FirstParagraph"/>
      </w:pPr>
      <w:r>
        <w:t xml:space="preserve">Each plot received a individual set of 20 species with some restrictions to the number of species per functional group.</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05"/>
        <w:gridCol w:w="1894"/>
        <w:gridCol w:w="1450"/>
        <w:gridCol w:w="1788"/>
        <w:gridCol w:w="1327"/>
        <w:gridCol w:w="1855"/>
      </w:tblGrid>
      <w:tr>
        <w:trPr>
          <w:trHeight w:val="58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Ratio per species</w:t>
            </w:r>
          </w:p>
        </w:tc>
      </w:tr>
      <w:tr>
        <w:trPr>
          <w:trHeight w:val="552" w:hRule="auto"/>
          <w:tblHeader/>
        </w:trPr>
        header 2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w:t>
            </w:r>
          </w:p>
        </w:tc>
      </w:tr>
      <w:tr>
        <w:trPr>
          <w:trHeight w:val="59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w:t>
            </w:r>
          </w:p>
        </w:tc>
      </w:tr>
      <w:tr>
        <w:trPr>
          <w:trHeight w:val="55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3.3</w:t>
            </w:r>
          </w:p>
        </w:tc>
      </w:tr>
      <w:tr>
        <w:trPr>
          <w:trHeight w:val="5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r>
      <w:tr>
        <w:trPr>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w:t>
            </w:r>
          </w:p>
        </w:tc>
      </w:tr>
      <w:tr>
        <w:trPr>
          <w:trHeight w:val="5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3.3</w:t>
            </w:r>
          </w:p>
        </w:tc>
      </w:tr>
      <w:tr>
        <w:trPr>
          <w:trHeight w:val="592"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r>
    </w:tbl>
    <w:p>
      <w:r>
        <w:br w:type="page"/>
      </w:r>
    </w:p>
    <w:bookmarkEnd w:id="70"/>
    <w:bookmarkStart w:id="71" w:name="table-3"/>
    <w:p>
      <w:pPr>
        <w:pStyle w:val="berschrift2"/>
      </w:pPr>
      <w:r>
        <w:rPr>
          <w:rStyle w:val="SectionNumber"/>
        </w:rPr>
        <w:t xml:space="preserve">6.2</w:t>
      </w:r>
      <w:r>
        <w:tab/>
      </w:r>
      <w:r>
        <w:t xml:space="preserve">Table 3</w:t>
      </w:r>
    </w:p>
    <w:p>
      <w:pPr>
        <w:pStyle w:val="FirstParagraph"/>
      </w:pPr>
      <w:r>
        <w:t xml:space="preserve">functional traits</w:t>
      </w:r>
      <w:r>
        <w:t xml:space="preserve"> </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105"/>
        <w:gridCol w:w="1894"/>
        <w:gridCol w:w="1450"/>
        <w:gridCol w:w="1788"/>
        <w:gridCol w:w="1327"/>
        <w:gridCol w:w="1855"/>
      </w:tblGrid>
      <w:tr>
        <w:trPr>
          <w:trHeight w:val="589" w:hRule="auto"/>
          <w:tblHeader/>
        </w:trPr>
        header 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Seed mixture...1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Functional group</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Species pool</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Seed mixture...4</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Total ratio</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Ratio per species</w:t>
            </w:r>
          </w:p>
        </w:tc>
      </w:tr>
      <w:tr>
        <w:trPr>
          <w:trHeight w:val="593" w:hRule="auto"/>
        </w:trPr>
        body 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Hay meadow</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grasses</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25.7</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w:t>
            </w:r>
          </w:p>
        </w:tc>
      </w:tr>
      <w:tr>
        <w:trPr>
          <w:trHeight w:val="552" w:hRule="auto"/>
        </w:trPr>
        body 4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3.3</w:t>
            </w:r>
          </w:p>
        </w:tc>
      </w:tr>
      <w:tr>
        <w:trPr>
          <w:trHeight w:val="592" w:hRule="auto"/>
        </w:trPr>
        body 5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Hemiparasites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r>
      <w:tr>
        <w:trPr>
          <w:trHeight w:val="593" w:hRule="auto"/>
        </w:trPr>
        body 6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Calcareous grassland</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High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25.7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7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Low grasses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34.3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w:t>
            </w:r>
          </w:p>
        </w:tc>
      </w:tr>
      <w:tr>
        <w:trPr>
          <w:trHeight w:val="586" w:hRule="auto"/>
        </w:trPr>
        body 8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Legumes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1.7</w:t>
            </w:r>
          </w:p>
        </w:tc>
      </w:tr>
      <w:tr>
        <w:trPr>
          <w:trHeight w:val="552" w:hRule="auto"/>
        </w:trPr>
        body 9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Herbs</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36</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3.3</w:t>
            </w:r>
          </w:p>
        </w:tc>
      </w:tr>
      <w:tr>
        <w:trPr>
          <w:trHeight w:val="592" w:hRule="auto"/>
        </w:trPr>
        body10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Hemiparasites</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2</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5.0</w:t>
            </w:r>
          </w:p>
        </w:tc>
      </w:tr>
    </w:tbl>
    <w:p>
      <w:r>
        <w:br w:type="page"/>
      </w:r>
    </w:p>
    <w:bookmarkEnd w:id="71"/>
    <w:bookmarkEnd w:id="72"/>
    <w:bookmarkStart w:id="82" w:name="figures"/>
    <w:p>
      <w:pPr>
        <w:pStyle w:val="berschrift1"/>
      </w:pPr>
      <w:r>
        <w:t xml:space="preserve">Figures</w:t>
      </w:r>
    </w:p>
    <w:bookmarkStart w:id="76" w:name="figure-1"/>
    <w:p>
      <w:pPr>
        <w:pStyle w:val="berschrift2"/>
      </w:pPr>
      <w:r>
        <w:t xml:space="preserve">Figure 1</w:t>
      </w:r>
    </w:p>
    <w:p>
      <w:pPr>
        <w:pStyle w:val="CaptionedFigure"/>
      </w:pPr>
      <w:r>
        <w:drawing>
          <wp:inline>
            <wp:extent cx="3810000" cy="2540000"/>
            <wp:effectExtent b="0" l="0" r="0" t="0"/>
            <wp:docPr descr="Figure 6.1: figure-map" title="" id="74" name="Picture"/>
            <a:graphic>
              <a:graphicData uri="http://schemas.openxmlformats.org/drawingml/2006/picture">
                <pic:pic>
                  <pic:nvPicPr>
                    <pic:cNvPr descr="outputs/figures/figure_1_map_tmap_300dpi_8x11cm.tiff" id="75" name="Picture"/>
                    <pic:cNvPicPr>
                      <a:picLocks noChangeArrowheads="1" noChangeAspect="1"/>
                    </pic:cNvPicPr>
                  </pic:nvPicPr>
                  <pic:blipFill>
                    <a:blip r:embed="rId73"/>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6.1: figure-map</w:t>
      </w:r>
    </w:p>
    <w:p>
      <w:r>
        <w:br w:type="page"/>
      </w:r>
    </w:p>
    <w:bookmarkEnd w:id="76"/>
    <w:bookmarkStart w:id="77" w:name="figure-2"/>
    <w:p>
      <w:pPr>
        <w:pStyle w:val="berschrift2"/>
      </w:pPr>
      <w:r>
        <w:t xml:space="preserve">Figure 2</w:t>
      </w:r>
    </w:p>
    <w:p>
      <w:r>
        <w:br w:type="page"/>
      </w:r>
    </w:p>
    <w:bookmarkEnd w:id="77"/>
    <w:bookmarkStart w:id="78" w:name="figure-3"/>
    <w:p>
      <w:pPr>
        <w:pStyle w:val="berschrift2"/>
      </w:pPr>
      <w:r>
        <w:t xml:space="preserve">Figure 3</w:t>
      </w:r>
    </w:p>
    <w:p>
      <w:r>
        <w:br w:type="page"/>
      </w:r>
    </w:p>
    <w:bookmarkEnd w:id="78"/>
    <w:bookmarkStart w:id="79" w:name="figure-4"/>
    <w:p>
      <w:pPr>
        <w:pStyle w:val="berschrift2"/>
      </w:pPr>
      <w:r>
        <w:t xml:space="preserve">Figure 4</w:t>
      </w:r>
    </w:p>
    <w:p>
      <w:r>
        <w:br w:type="page"/>
      </w:r>
    </w:p>
    <w:bookmarkEnd w:id="79"/>
    <w:bookmarkStart w:id="80" w:name="figure-5"/>
    <w:p>
      <w:pPr>
        <w:pStyle w:val="berschrift2"/>
      </w:pPr>
      <w:r>
        <w:t xml:space="preserve">Figure 5</w:t>
      </w:r>
    </w:p>
    <w:p>
      <w:pPr>
        <w:pStyle w:val="FirstParagraph"/>
      </w:pPr>
      <w:r>
        <w:t xml:space="preserve">Fig. 5:</w:t>
      </w:r>
    </w:p>
    <w:p>
      <w:r>
        <w:br w:type="page"/>
      </w:r>
    </w:p>
    <w:bookmarkEnd w:id="80"/>
    <w:bookmarkStart w:id="81" w:name="figure-6"/>
    <w:p>
      <w:pPr>
        <w:pStyle w:val="berschrift2"/>
      </w:pPr>
      <w:r>
        <w:t xml:space="preserve">Figure 6</w:t>
      </w:r>
    </w:p>
    <w:p>
      <w:pPr>
        <w:pStyle w:val="FirstParagraph"/>
      </w:pPr>
      <w:r>
        <w:t xml:space="preserve">Fig. 6:</w:t>
      </w:r>
    </w:p>
    <w:p>
      <w:r>
        <w:br w:type="page"/>
      </w:r>
    </w:p>
    <w:bookmarkEnd w:id="81"/>
    <w:bookmarkEnd w:id="82"/>
    <w:bookmarkStart w:id="90" w:name="supplementary-material"/>
    <w:p>
      <w:pPr>
        <w:pStyle w:val="berschrift1"/>
      </w:pPr>
      <w:r>
        <w:t xml:space="preserve">Supplementary Material</w:t>
      </w:r>
    </w:p>
    <w:bookmarkStart w:id="83" w:name="table-s1"/>
    <w:p>
      <w:pPr>
        <w:pStyle w:val="berschrift2"/>
      </w:pPr>
      <w:r>
        <w:t xml:space="preserve">Table S1</w:t>
      </w:r>
    </w:p>
    <w:p>
      <w:pPr>
        <w:pStyle w:val="FirstParagraph"/>
      </w:pPr>
      <w:r>
        <w:t xml:space="preserve">Three dry years (2018–2020) and three minor floods (2018, 2019, 2021) occurred during the study period. Annual temperature, precipitation and discharge of River Danube near the study sites (2017–2021), based on weather station Metten [mean, 1981–2010; ID, 3271; WGS84, lat/lon, 48.85476, 12.918911;</w:t>
      </w:r>
      <w:r>
        <w:t xml:space="preserve"> </w:t>
      </w:r>
      <w:r>
        <w:t xml:space="preserve">Climate Data Center of the German Meteorological Service (2022b)</w:t>
      </w:r>
      <w:r>
        <w:t xml:space="preserve">,</w:t>
      </w:r>
      <w:r>
        <w:t xml:space="preserve"> </w:t>
      </w:r>
      <w:r>
        <w:t xml:space="preserve">Climate Data Center of the German Meteorological Service (2022a)</w:t>
      </w:r>
      <w:r>
        <w:t xml:space="preserve">] and stream gauge Pfelling [ID, 10078000; WGS84, lat/lon, 48.87975, 12.74716;</w:t>
      </w:r>
      <w:r>
        <w:t xml:space="preserve"> </w:t>
      </w:r>
      <w:r>
        <w:t xml:space="preserve">Bayerisches Landesamt für Umwelt (2021b)</w:t>
      </w:r>
      <w:r>
        <w:t xml:space="preserve">]. HQ2 = Highest discharge with a probability of occurrence every second year. HSW = Highest water level for shipping.</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2450"/>
        <w:gridCol w:w="850"/>
        <w:gridCol w:w="861"/>
        <w:gridCol w:w="1011"/>
        <w:gridCol w:w="1011"/>
        <w:gridCol w:w="1011"/>
        <w:gridCol w:w="1011"/>
        <w:gridCol w:w="2049"/>
      </w:tblGrid>
      <w:tr>
        <w:trPr>
          <w:trHeight w:val="586" w:hRule="auto"/>
          <w:tblHeader/>
        </w:trPr>
        header1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Environmental variable</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Unit</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2017</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2018</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2019</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2020</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2021</w:t>
            </w:r>
          </w:p>
        </w:tc>
        <w:tc>
          <w:tcPr>
            <w:tcBorders>
              <w:bottom w:val="single" w:sz="16" w:space="0" w:color="666666"/>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true"/>
                <w:u w:val="none"/>
                <w:sz w:val="20"/>
                <w:szCs w:val="20"/>
                <w:color w:val="000000"/>
              </w:rPr>
              <w:t xml:space="preserve">Long-term average</w:t>
            </w:r>
          </w:p>
        </w:tc>
      </w:tr>
      <w:tr>
        <w:trPr>
          <w:trHeight w:val="586" w:hRule="auto"/>
        </w:trPr>
        body1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Temperature</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°C</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10.1</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9.9</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8.8</w:t>
            </w:r>
          </w:p>
        </w:tc>
        <w:tc>
          <w:tcPr>
            <w:tcBorders>
              <w:bottom w:val="none" w:sz="0" w:space="0" w:color="000000"/>
              <w:top w:val="single" w:sz="16" w:space="0" w:color="666666"/>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8.4</w:t>
            </w:r>
          </w:p>
        </w:tc>
      </w:tr>
      <w:tr>
        <w:trPr>
          <w:trHeight w:val="592" w:hRule="auto"/>
        </w:trPr>
        body2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Precipitation</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mm</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1,014</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706.0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864.0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832.0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1,034.0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984.0</w:t>
            </w:r>
          </w:p>
        </w:tc>
      </w:tr>
      <w:tr>
        <w:trPr>
          <w:trHeight w:val="593" w:hRule="auto"/>
        </w:trPr>
        body3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Discharge max (HQ2)</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m</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0"/>
                <w:szCs w:val="20"/>
                <w:color w:val="000000"/>
              </w:rPr>
              <w:t xml:space="preserve">3</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 s</w:t>
            </w: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vertAlign w:val="superscript"/>
                <w:sz w:val="20"/>
                <w:szCs w:val="20"/>
                <w:color w:val="000000"/>
              </w:rPr>
              <w:t xml:space="preserve">−1</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1,050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1,630.0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1,440.0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1,360.0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1,450.0</w:t>
            </w:r>
          </w:p>
        </w:tc>
        <w:tc>
          <w:tcPr>
            <w:tcBorders>
              <w:bottom w:val="none" w:sz="0" w:space="0" w:color="000000"/>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1,620.0</w:t>
            </w:r>
          </w:p>
        </w:tc>
      </w:tr>
      <w:tr>
        <w:trPr>
          <w:trHeight w:val="592" w:hRule="auto"/>
        </w:trPr>
        body4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Water level max (HSW)</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lef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cm</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567</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706.0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662.0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650.0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669.0</w:t>
            </w:r>
          </w:p>
        </w:tc>
        <w:tc>
          <w:tcPr>
            <w:tcBorders>
              <w:bottom w:val="single" w:sz="16" w:space="0" w:color="666666"/>
              <w:top w:val="none" w:sz="0" w:space="0" w:color="000000"/>
              <w:left w:val="none" w:sz="0" w:space="0" w:color="000000"/>
              <w:right w:val="none" w:sz="0" w:space="0" w:color="000000"/>
            </w:tcBorders>
            <w:shd w:val="clear" w:color="auto" w:fill="FFFFFF"/>
            <w:tcMar>
              <w:top w:w="0" w:type="dxa"/>
              <w:bottom w:w="0" w:type="dxa"/>
              <w:left w:w="0" w:type="dxa"/>
              <w:right w:w="0" w:type="dxa"/>
            </w:tcMar>
            <w:vAlign w:val="center"/>
          </w:tcPr>
          <w:p>
            <w:pPr>
              <w:pStyle w:val="Normal"/>
              <w:jc w:val="right"/>
              <w:pBdr>
                <w:bottom w:val="none" w:sz="0" w:space="0" w:color="000000"/>
                <w:top w:val="none" w:sz="0" w:space="0" w:color="000000"/>
                <w:left w:val="none" w:sz="0" w:space="0" w:color="000000"/>
                <w:right w:val="none" w:sz="0" w:space="0" w:color="000000"/>
              </w:pBd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Times New Roman" w:hAnsi="Arial" w:eastAsia="Arial" w:cs="Arial"/>
                <w:i w:val="false"/>
                <w:b w:val="false"/>
                <w:u w:val="none"/>
                <w:sz w:val="20"/>
                <w:szCs w:val="20"/>
                <w:color w:val="000000"/>
              </w:rPr>
              <w:t xml:space="preserve">620.0</w:t>
            </w:r>
          </w:p>
        </w:tc>
      </w:tr>
    </w:tbl>
    <w:p>
      <w:r>
        <w:br w:type="page"/>
      </w:r>
    </w:p>
    <w:bookmarkEnd w:id="83"/>
    <w:bookmarkStart w:id="87" w:name="table-s2"/>
    <w:p>
      <w:pPr>
        <w:pStyle w:val="berschrift2"/>
      </w:pPr>
      <w:r>
        <w:t xml:space="preserve">Table S2</w:t>
      </w:r>
    </w:p>
    <w:p>
      <w:pPr>
        <w:pStyle w:val="FirstParagraph"/>
      </w:pPr>
      <w:r>
        <w:t xml:space="preserve">Establishment rate</w:t>
      </w:r>
      <w:r>
        <w:t xml:space="preserve"> </w:t>
      </w:r>
    </w:p>
    <w:p>
      <w:pPr>
        <w:pStyle w:val="CaptionedFigure"/>
      </w:pPr>
      <w:r>
        <w:drawing>
          <wp:inline>
            <wp:extent cx="3810000" cy="2540000"/>
            <wp:effectExtent b="0" l="0" r="0" t="0"/>
            <wp:docPr descr="Figure 6.2: table-s2" title="" id="85" name="Picture"/>
            <a:graphic>
              <a:graphicData uri="http://schemas.openxmlformats.org/drawingml/2006/picture">
                <pic:pic>
                  <pic:nvPicPr>
                    <pic:cNvPr descr="outputs/tables/table_a2_establishment.html" id="86" name="Picture"/>
                    <pic:cNvPicPr>
                      <a:picLocks noChangeArrowheads="1" noChangeAspect="1"/>
                    </pic:cNvPicPr>
                  </pic:nvPicPr>
                  <pic:blipFill>
                    <a:blip r:embed="rId84"/>
                    <a:stretch>
                      <a:fillRect/>
                    </a:stretch>
                  </pic:blipFill>
                  <pic:spPr bwMode="auto">
                    <a:xfrm>
                      <a:off x="0" y="0"/>
                      <a:ext cx="3810000" cy="2540000"/>
                    </a:xfrm>
                    <a:prstGeom prst="rect">
                      <a:avLst/>
                    </a:prstGeom>
                    <a:noFill/>
                    <a:ln w="9525">
                      <a:noFill/>
                      <a:headEnd/>
                      <a:tailEnd/>
                    </a:ln>
                  </pic:spPr>
                </pic:pic>
              </a:graphicData>
            </a:graphic>
          </wp:inline>
        </w:drawing>
      </w:r>
    </w:p>
    <w:p>
      <w:pPr>
        <w:pStyle w:val="ImageCaption"/>
      </w:pPr>
      <w:r>
        <w:t xml:space="preserve">Figure 6.2: table-s2</w:t>
      </w:r>
    </w:p>
    <w:p>
      <w:r>
        <w:br w:type="page"/>
      </w:r>
    </w:p>
    <w:bookmarkEnd w:id="87"/>
    <w:bookmarkStart w:id="88" w:name="table-s3"/>
    <w:p>
      <w:pPr>
        <w:pStyle w:val="berschrift2"/>
      </w:pPr>
      <w:r>
        <w:t xml:space="preserve">Table S3</w:t>
      </w:r>
    </w:p>
    <w:p>
      <w:pPr>
        <w:pStyle w:val="FirstParagraph"/>
      </w:pPr>
      <w:r>
        <w:t xml:space="preserve">See repository outputs/tables/table_a3_seedmixes.csv</w:t>
      </w:r>
      <w:r>
        <w:t xml:space="preserve"> </w:t>
      </w:r>
    </w:p>
    <w:p>
      <w:r>
        <w:br w:type="page"/>
      </w:r>
    </w:p>
    <w:bookmarkEnd w:id="88"/>
    <w:bookmarkStart w:id="89" w:name="session-info"/>
    <w:p>
      <w:pPr>
        <w:pStyle w:val="berschrift2"/>
      </w:pPr>
      <w:r>
        <w:t xml:space="preserve">Session Info</w:t>
      </w:r>
    </w:p>
    <w:p>
      <w:pPr>
        <w:pStyle w:val="SourceCode"/>
      </w:pPr>
      <w:r>
        <w:rPr>
          <w:rStyle w:val="VerbatimChar"/>
        </w:rPr>
        <w:t xml:space="preserve">## R version 4.2.2 (2022-10-31 ucrt)</w:t>
      </w:r>
      <w:r>
        <w:br/>
      </w:r>
      <w:r>
        <w:rPr>
          <w:rStyle w:val="VerbatimChar"/>
        </w:rPr>
        <w:t xml:space="preserve">## Platform: x86_64-w64-mingw32/x64 (64-bit)</w:t>
      </w:r>
      <w:r>
        <w:br/>
      </w:r>
      <w:r>
        <w:rPr>
          <w:rStyle w:val="VerbatimChar"/>
        </w:rPr>
        <w:t xml:space="preserve">## Running under: Windows 10 x64 (build 22621)</w:t>
      </w:r>
      <w:r>
        <w:br/>
      </w:r>
      <w:r>
        <w:rPr>
          <w:rStyle w:val="VerbatimChar"/>
        </w:rPr>
        <w:t xml:space="preserve">## </w:t>
      </w:r>
      <w:r>
        <w:br/>
      </w:r>
      <w:r>
        <w:rPr>
          <w:rStyle w:val="VerbatimChar"/>
        </w:rPr>
        <w:t xml:space="preserve">## Matrix products: default</w:t>
      </w:r>
      <w:r>
        <w:br/>
      </w:r>
      <w:r>
        <w:rPr>
          <w:rStyle w:val="VerbatimChar"/>
        </w:rPr>
        <w:t xml:space="preserve">## </w:t>
      </w:r>
      <w:r>
        <w:br/>
      </w:r>
      <w:r>
        <w:rPr>
          <w:rStyle w:val="VerbatimChar"/>
        </w:rPr>
        <w:t xml:space="preserve">## locale:</w:t>
      </w:r>
      <w:r>
        <w:br/>
      </w:r>
      <w:r>
        <w:rPr>
          <w:rStyle w:val="VerbatimChar"/>
        </w:rPr>
        <w:t xml:space="preserve">## [1] LC_COLLATE=German_Germany.utf8  LC_CTYPE=German_Germany.utf8   </w:t>
      </w:r>
      <w:r>
        <w:br/>
      </w:r>
      <w:r>
        <w:rPr>
          <w:rStyle w:val="VerbatimChar"/>
        </w:rPr>
        <w:t xml:space="preserve">## [3] LC_MONETARY=German_Germany.utf8 LC_NUMERIC=C                   </w:t>
      </w:r>
      <w:r>
        <w:br/>
      </w:r>
      <w:r>
        <w:rPr>
          <w:rStyle w:val="VerbatimChar"/>
        </w:rPr>
        <w:t xml:space="preserve">## [5] LC_TIME=German_Germany.utf8    </w:t>
      </w:r>
      <w:r>
        <w:br/>
      </w:r>
      <w:r>
        <w:rPr>
          <w:rStyle w:val="VerbatimChar"/>
        </w:rPr>
        <w:t xml:space="preserve">## </w:t>
      </w:r>
      <w:r>
        <w:br/>
      </w:r>
      <w:r>
        <w:rPr>
          <w:rStyle w:val="VerbatimChar"/>
        </w:rPr>
        <w:t xml:space="preserve">## attached base packages:</w:t>
      </w:r>
      <w:r>
        <w:br/>
      </w:r>
      <w:r>
        <w:rPr>
          <w:rStyle w:val="VerbatimChar"/>
        </w:rPr>
        <w:t xml:space="preserve">## [1] stats     graphics  grDevices datasets  utils     methods   base     </w:t>
      </w:r>
      <w:r>
        <w:br/>
      </w:r>
      <w:r>
        <w:rPr>
          <w:rStyle w:val="VerbatimChar"/>
        </w:rPr>
        <w:t xml:space="preserve">## </w:t>
      </w:r>
      <w:r>
        <w:br/>
      </w:r>
      <w:r>
        <w:rPr>
          <w:rStyle w:val="VerbatimChar"/>
        </w:rPr>
        <w:t xml:space="preserve">## other attached packages:</w:t>
      </w:r>
      <w:r>
        <w:br/>
      </w:r>
      <w:r>
        <w:rPr>
          <w:rStyle w:val="VerbatimChar"/>
        </w:rPr>
        <w:t xml:space="preserve">##  [1] flextable_0.8.3      forcats_0.5.2        stringr_1.5.0       </w:t>
      </w:r>
      <w:r>
        <w:br/>
      </w:r>
      <w:r>
        <w:rPr>
          <w:rStyle w:val="VerbatimChar"/>
        </w:rPr>
        <w:t xml:space="preserve">##  [4] dplyr_1.0.10         purrr_0.3.5          readr_2.1.3         </w:t>
      </w:r>
      <w:r>
        <w:br/>
      </w:r>
      <w:r>
        <w:rPr>
          <w:rStyle w:val="VerbatimChar"/>
        </w:rPr>
        <w:t xml:space="preserve">##  [7] tidyr_1.2.1          tibble_3.1.8         ggplot2_3.4.0       </w:t>
      </w:r>
      <w:r>
        <w:br/>
      </w:r>
      <w:r>
        <w:rPr>
          <w:rStyle w:val="VerbatimChar"/>
        </w:rPr>
        <w:t xml:space="preserve">## [10] tidyverse_1.3.2      officer_0.4.4        officedown_0.2.5.004</w:t>
      </w:r>
      <w:r>
        <w:br/>
      </w:r>
      <w:r>
        <w:rPr>
          <w:rStyle w:val="VerbatimChar"/>
        </w:rPr>
        <w:t xml:space="preserve">## [13] bookdown_0.31        knitr_1.41          </w:t>
      </w:r>
      <w:r>
        <w:br/>
      </w:r>
      <w:r>
        <w:rPr>
          <w:rStyle w:val="VerbatimChar"/>
        </w:rPr>
        <w:t xml:space="preserve">## </w:t>
      </w:r>
      <w:r>
        <w:br/>
      </w:r>
      <w:r>
        <w:rPr>
          <w:rStyle w:val="VerbatimChar"/>
        </w:rPr>
        <w:t xml:space="preserve">## loaded via a namespace (and not attached):</w:t>
      </w:r>
      <w:r>
        <w:br/>
      </w:r>
      <w:r>
        <w:rPr>
          <w:rStyle w:val="VerbatimChar"/>
        </w:rPr>
        <w:t xml:space="preserve">##  [1] httr_1.4.4          bit64_4.0.5         vroom_1.6.0        </w:t>
      </w:r>
      <w:r>
        <w:br/>
      </w:r>
      <w:r>
        <w:rPr>
          <w:rStyle w:val="VerbatimChar"/>
        </w:rPr>
        <w:t xml:space="preserve">##  [4] jsonlite_1.8.4      here_1.0.1          modelr_0.1.10      </w:t>
      </w:r>
      <w:r>
        <w:br/>
      </w:r>
      <w:r>
        <w:rPr>
          <w:rStyle w:val="VerbatimChar"/>
        </w:rPr>
        <w:t xml:space="preserve">##  [7] assertthat_0.2.1    highr_0.9           renv_0.16.0        </w:t>
      </w:r>
      <w:r>
        <w:br/>
      </w:r>
      <w:r>
        <w:rPr>
          <w:rStyle w:val="VerbatimChar"/>
        </w:rPr>
        <w:t xml:space="preserve">## [10] googlesheets4_1.0.1 cellranger_1.1.0    yaml_2.3.6         </w:t>
      </w:r>
      <w:r>
        <w:br/>
      </w:r>
      <w:r>
        <w:rPr>
          <w:rStyle w:val="VerbatimChar"/>
        </w:rPr>
        <w:t xml:space="preserve">## [13] gdtools_0.2.4       pillar_1.8.1        backports_1.4.1    </w:t>
      </w:r>
      <w:r>
        <w:br/>
      </w:r>
      <w:r>
        <w:rPr>
          <w:rStyle w:val="VerbatimChar"/>
        </w:rPr>
        <w:t xml:space="preserve">## [16] glue_1.6.2          uuid_1.1-0          digest_0.6.30      </w:t>
      </w:r>
      <w:r>
        <w:br/>
      </w:r>
      <w:r>
        <w:rPr>
          <w:rStyle w:val="VerbatimChar"/>
        </w:rPr>
        <w:t xml:space="preserve">## [19] rvest_1.0.3         colorspace_2.0-3    htmltools_0.5.3    </w:t>
      </w:r>
      <w:r>
        <w:br/>
      </w:r>
      <w:r>
        <w:rPr>
          <w:rStyle w:val="VerbatimChar"/>
        </w:rPr>
        <w:t xml:space="preserve">## [22] pkgconfig_2.0.3     broom_1.0.1         haven_2.5.1        </w:t>
      </w:r>
      <w:r>
        <w:br/>
      </w:r>
      <w:r>
        <w:rPr>
          <w:rStyle w:val="VerbatimChar"/>
        </w:rPr>
        <w:t xml:space="preserve">## [25] scales_1.2.1        tzdb_0.3.0          timechange_0.1.1   </w:t>
      </w:r>
      <w:r>
        <w:br/>
      </w:r>
      <w:r>
        <w:rPr>
          <w:rStyle w:val="VerbatimChar"/>
        </w:rPr>
        <w:t xml:space="preserve">## [28] googledrive_2.0.0   generics_0.1.3      ellipsis_0.3.2     </w:t>
      </w:r>
      <w:r>
        <w:br/>
      </w:r>
      <w:r>
        <w:rPr>
          <w:rStyle w:val="VerbatimChar"/>
        </w:rPr>
        <w:t xml:space="preserve">## [31] cachem_1.0.6        withr_2.5.0         cli_3.4.1          </w:t>
      </w:r>
      <w:r>
        <w:br/>
      </w:r>
      <w:r>
        <w:rPr>
          <w:rStyle w:val="VerbatimChar"/>
        </w:rPr>
        <w:t xml:space="preserve">## [34] magrittr_2.0.3      crayon_1.5.2        readxl_1.4.1       </w:t>
      </w:r>
      <w:r>
        <w:br/>
      </w:r>
      <w:r>
        <w:rPr>
          <w:rStyle w:val="VerbatimChar"/>
        </w:rPr>
        <w:t xml:space="preserve">## [37] memoise_2.0.1       evaluate_0.19       fs_1.5.2           </w:t>
      </w:r>
      <w:r>
        <w:br/>
      </w:r>
      <w:r>
        <w:rPr>
          <w:rStyle w:val="VerbatimChar"/>
        </w:rPr>
        <w:t xml:space="preserve">## [40] fansi_1.0.3         xml2_1.3.3          tools_4.2.2        </w:t>
      </w:r>
      <w:r>
        <w:br/>
      </w:r>
      <w:r>
        <w:rPr>
          <w:rStyle w:val="VerbatimChar"/>
        </w:rPr>
        <w:t xml:space="preserve">## [43] data.table_1.14.6   hms_1.1.2           gargle_1.2.1       </w:t>
      </w:r>
      <w:r>
        <w:br/>
      </w:r>
      <w:r>
        <w:rPr>
          <w:rStyle w:val="VerbatimChar"/>
        </w:rPr>
        <w:t xml:space="preserve">## [46] lifecycle_1.0.3     munsell_0.5.0       reprex_2.0.2       </w:t>
      </w:r>
      <w:r>
        <w:br/>
      </w:r>
      <w:r>
        <w:rPr>
          <w:rStyle w:val="VerbatimChar"/>
        </w:rPr>
        <w:t xml:space="preserve">## [49] zip_2.2.2           compiler_4.2.2      systemfonts_1.0.4  </w:t>
      </w:r>
      <w:r>
        <w:br/>
      </w:r>
      <w:r>
        <w:rPr>
          <w:rStyle w:val="VerbatimChar"/>
        </w:rPr>
        <w:t xml:space="preserve">## [52] rlang_1.0.6         grid_4.2.2          rstudioapi_0.14    </w:t>
      </w:r>
      <w:r>
        <w:br/>
      </w:r>
      <w:r>
        <w:rPr>
          <w:rStyle w:val="VerbatimChar"/>
        </w:rPr>
        <w:t xml:space="preserve">## [55] base64enc_0.1-3     rmarkdown_2.19      gtable_0.3.1       </w:t>
      </w:r>
      <w:r>
        <w:br/>
      </w:r>
      <w:r>
        <w:rPr>
          <w:rStyle w:val="VerbatimChar"/>
        </w:rPr>
        <w:t xml:space="preserve">## [58] DBI_1.1.3           R6_2.5.1            rvg_0.3.0          </w:t>
      </w:r>
      <w:r>
        <w:br/>
      </w:r>
      <w:r>
        <w:rPr>
          <w:rStyle w:val="VerbatimChar"/>
        </w:rPr>
        <w:t xml:space="preserve">## [61] lubridate_1.9.0     bit_4.0.5           fastmap_1.1.0      </w:t>
      </w:r>
      <w:r>
        <w:br/>
      </w:r>
      <w:r>
        <w:rPr>
          <w:rStyle w:val="VerbatimChar"/>
        </w:rPr>
        <w:t xml:space="preserve">## [64] utf8_1.2.2          rprojroot_2.0.3     stringi_1.7.8      </w:t>
      </w:r>
      <w:r>
        <w:br/>
      </w:r>
      <w:r>
        <w:rPr>
          <w:rStyle w:val="VerbatimChar"/>
        </w:rPr>
        <w:t xml:space="preserve">## [67] parallel_4.2.2      Rcpp_1.0.9          vctrs_0.5.1        </w:t>
      </w:r>
      <w:r>
        <w:br/>
      </w:r>
      <w:r>
        <w:rPr>
          <w:rStyle w:val="VerbatimChar"/>
        </w:rPr>
        <w:t xml:space="preserve">## [70] dbplyr_2.2.1        tidyselect_1.2.0    xfun_0.35</w:t>
      </w:r>
    </w:p>
    <w:bookmarkEnd w:id="89"/>
    <w:bookmarkEnd w:id="90"/>
    <w:sectPr w:rsidR="00340337">
      <w:footerReference r:id="rId9" w:type="default"/>
      <w:pgSz w:h="16838" w:w="11906"/>
      <w:pgMar w:bottom="1440" w:footer="720" w:gutter="0" w:header="0" w:left="1440" w:right="1440" w:top="1440"/>
      <w:lnNumType w:countBy="1" w:distance="283" w:restart="continuous"/>
      <w:cols w:space="720"/>
      <w:formProt w:val="0"/>
      <w:docGrid w:linePitch="27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erif">
    <w:altName w:val="Times New Roman"/>
    <w:charset w:val="01"/>
    <w:family w:val="roman"/>
    <w:pitch w:val="variable"/>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854204667"/>
      <w:docPartObj>
        <w:docPartGallery w:val="Page Numbers (Bottom of Page)"/>
        <w:docPartUnique/>
      </w:docPartObj>
    </w:sdtPr>
    <w:sdtContent>
      <w:p w14:paraId="51B76543" w14:textId="77777777" w:rsidR="00340337" w:rsidRDefault="00000000">
        <w:pPr>
          <w:pStyle w:val="Fuzeile"/>
          <w:jc w:val="center"/>
        </w:pPr>
        <w:r>
          <w:fldChar w:fldCharType="begin"/>
        </w:r>
        <w:r>
          <w:instrText>PAGE</w:instrText>
        </w:r>
        <w:r>
          <w:fldChar w:fldCharType="separate"/>
        </w:r>
        <w:r>
          <w:t>8</w:t>
        </w:r>
        <w:r>
          <w:fldChar w:fldCharType="end"/>
        </w:r>
      </w:p>
    </w:sdtContent>
  </w:sdt>
  <w:p w14:paraId="03B4A6CB" w14:textId="77777777" w:rsidR="00340337" w:rsidRDefault="00340337">
    <w:pPr>
      <w:pStyle w:val="Fuzeile"/>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198705DA"/>
    <w:multiLevelType w:val="multilevel"/>
    <w:tmpl w:val="70B8AD1E"/>
    <w:lvl w:ilvl="0">
      <w:start w:val="1"/>
      <w:numFmt w:val="none"/>
      <w:suff w:val="nothing"/>
      <w:lvlText w:val=""/>
      <w:lvlJc w:val="left"/>
      <w:pPr>
        <w:tabs>
          <w:tab w:pos="0" w:val="num"/>
        </w:tabs>
        <w:ind w:firstLine="0" w:left="0"/>
      </w:pPr>
    </w:lvl>
    <w:lvl w:ilvl="1">
      <w:start w:val="1"/>
      <w:numFmt w:val="none"/>
      <w:suff w:val="nothing"/>
      <w:lvlText w:val=""/>
      <w:lvlJc w:val="left"/>
      <w:pPr>
        <w:tabs>
          <w:tab w:pos="0" w:val="num"/>
        </w:tabs>
        <w:ind w:firstLine="0" w:left="0"/>
      </w:pPr>
    </w:lvl>
    <w:lvl w:ilvl="2">
      <w:start w:val="1"/>
      <w:numFmt w:val="none"/>
      <w:suff w:val="nothing"/>
      <w:lvlText w:val=""/>
      <w:lvlJc w:val="left"/>
      <w:pPr>
        <w:tabs>
          <w:tab w:pos="0" w:val="num"/>
        </w:tabs>
        <w:ind w:firstLine="0" w:left="0"/>
      </w:pPr>
    </w:lvl>
    <w:lvl w:ilvl="3">
      <w:start w:val="1"/>
      <w:numFmt w:val="none"/>
      <w:suff w:val="nothing"/>
      <w:lvlText w:val=""/>
      <w:lvlJc w:val="left"/>
      <w:pPr>
        <w:tabs>
          <w:tab w:pos="0" w:val="num"/>
        </w:tabs>
        <w:ind w:firstLine="0" w:left="0"/>
      </w:pPr>
    </w:lvl>
    <w:lvl w:ilvl="4">
      <w:start w:val="1"/>
      <w:numFmt w:val="none"/>
      <w:suff w:val="nothing"/>
      <w:lvlText w:val=""/>
      <w:lvlJc w:val="left"/>
      <w:pPr>
        <w:tabs>
          <w:tab w:pos="0" w:val="num"/>
        </w:tabs>
        <w:ind w:firstLine="0" w:left="0"/>
      </w:pPr>
    </w:lvl>
    <w:lvl w:ilvl="5">
      <w:start w:val="1"/>
      <w:numFmt w:val="none"/>
      <w:suff w:val="nothing"/>
      <w:lvlText w:val=""/>
      <w:lvlJc w:val="left"/>
      <w:pPr>
        <w:tabs>
          <w:tab w:pos="0" w:val="num"/>
        </w:tabs>
        <w:ind w:firstLine="0" w:left="0"/>
      </w:pPr>
    </w:lvl>
    <w:lvl w:ilvl="6">
      <w:start w:val="1"/>
      <w:numFmt w:val="none"/>
      <w:suff w:val="nothing"/>
      <w:lvlText w:val=""/>
      <w:lvlJc w:val="left"/>
      <w:pPr>
        <w:tabs>
          <w:tab w:pos="0" w:val="num"/>
        </w:tabs>
        <w:ind w:firstLine="0" w:left="0"/>
      </w:pPr>
    </w:lvl>
    <w:lvl w:ilvl="7">
      <w:start w:val="1"/>
      <w:numFmt w:val="none"/>
      <w:suff w:val="nothing"/>
      <w:lvlText w:val=""/>
      <w:lvlJc w:val="left"/>
      <w:pPr>
        <w:tabs>
          <w:tab w:pos="0" w:val="num"/>
        </w:tabs>
        <w:ind w:firstLine="0" w:left="0"/>
      </w:pPr>
    </w:lvl>
    <w:lvl w:ilvl="8">
      <w:start w:val="1"/>
      <w:numFmt w:val="none"/>
      <w:suff w:val="nothing"/>
      <w:lvlText w:val=""/>
      <w:lvlJc w:val="left"/>
      <w:pPr>
        <w:tabs>
          <w:tab w:pos="0" w:val="num"/>
        </w:tabs>
        <w:ind w:firstLine="0" w:left="0"/>
      </w:pPr>
    </w:lvl>
  </w:abstractNum>
  <w:abstractNum w15:restartNumberingAfterBreak="0" w:abstractNumId="1">
    <w:nsid w:val="24BC0BC8"/>
    <w:multiLevelType w:val="multilevel"/>
    <w:tmpl w:val="67B8943E"/>
    <w:lvl w:ilvl="0">
      <w:start w:val="1"/>
      <w:numFmt w:val="decimal"/>
      <w:lvlText w:val="(%1)"/>
      <w:lvlJc w:val="left"/>
      <w:pPr>
        <w:tabs>
          <w:tab w:pos="0" w:val="num"/>
        </w:tabs>
        <w:ind w:hanging="480" w:left="480"/>
      </w:pPr>
    </w:lvl>
    <w:lvl w:ilvl="1">
      <w:start w:val="1"/>
      <w:numFmt w:val="decimal"/>
      <w:lvlText w:val="(%2)"/>
      <w:lvlJc w:val="left"/>
      <w:pPr>
        <w:tabs>
          <w:tab w:pos="720" w:val="num"/>
        </w:tabs>
        <w:ind w:hanging="480" w:left="1200"/>
      </w:pPr>
    </w:lvl>
    <w:lvl w:ilvl="2">
      <w:start w:val="1"/>
      <w:numFmt w:val="decimal"/>
      <w:lvlText w:val="(%3)"/>
      <w:lvlJc w:val="left"/>
      <w:pPr>
        <w:tabs>
          <w:tab w:pos="1440" w:val="num"/>
        </w:tabs>
        <w:ind w:hanging="480" w:left="1920"/>
      </w:pPr>
    </w:lvl>
    <w:lvl w:ilvl="3">
      <w:start w:val="1"/>
      <w:numFmt w:val="decimal"/>
      <w:lvlText w:val="(%4)"/>
      <w:lvlJc w:val="left"/>
      <w:pPr>
        <w:tabs>
          <w:tab w:pos="2160" w:val="num"/>
        </w:tabs>
        <w:ind w:hanging="480" w:left="2640"/>
      </w:pPr>
    </w:lvl>
    <w:lvl w:ilvl="4">
      <w:start w:val="1"/>
      <w:numFmt w:val="decimal"/>
      <w:lvlText w:val="(%5)"/>
      <w:lvlJc w:val="left"/>
      <w:pPr>
        <w:tabs>
          <w:tab w:pos="2880" w:val="num"/>
        </w:tabs>
        <w:ind w:hanging="480" w:left="3360"/>
      </w:pPr>
    </w:lvl>
    <w:lvl w:ilvl="5">
      <w:start w:val="1"/>
      <w:numFmt w:val="decimal"/>
      <w:lvlText w:val="(%6)"/>
      <w:lvlJc w:val="left"/>
      <w:pPr>
        <w:tabs>
          <w:tab w:pos="3600" w:val="num"/>
        </w:tabs>
        <w:ind w:hanging="480" w:left="4080"/>
      </w:pPr>
    </w:lvl>
    <w:lvl w:ilvl="6">
      <w:start w:val="1"/>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2">
    <w:nsid w:val="78D54504"/>
    <w:multiLevelType w:val="multilevel"/>
    <w:tmpl w:val="CDA86476"/>
    <w:lvl w:ilvl="0">
      <w:start w:val="2"/>
      <w:numFmt w:val="decimal"/>
      <w:lvlText w:val="(%1)"/>
      <w:lvlJc w:val="left"/>
      <w:pPr>
        <w:tabs>
          <w:tab w:pos="0" w:val="num"/>
        </w:tabs>
        <w:ind w:hanging="480" w:left="480"/>
      </w:pPr>
    </w:lvl>
    <w:lvl w:ilvl="1">
      <w:start w:val="2"/>
      <w:numFmt w:val="decimal"/>
      <w:lvlText w:val="(%2)"/>
      <w:lvlJc w:val="left"/>
      <w:pPr>
        <w:tabs>
          <w:tab w:pos="720" w:val="num"/>
        </w:tabs>
        <w:ind w:hanging="480" w:left="1200"/>
      </w:pPr>
    </w:lvl>
    <w:lvl w:ilvl="2">
      <w:start w:val="2"/>
      <w:numFmt w:val="decimal"/>
      <w:lvlText w:val="(%3)"/>
      <w:lvlJc w:val="left"/>
      <w:pPr>
        <w:tabs>
          <w:tab w:pos="1440" w:val="num"/>
        </w:tabs>
        <w:ind w:hanging="480" w:left="1920"/>
      </w:pPr>
    </w:lvl>
    <w:lvl w:ilvl="3">
      <w:start w:val="2"/>
      <w:numFmt w:val="decimal"/>
      <w:lvlText w:val="(%4)"/>
      <w:lvlJc w:val="left"/>
      <w:pPr>
        <w:tabs>
          <w:tab w:pos="2160" w:val="num"/>
        </w:tabs>
        <w:ind w:hanging="480" w:left="2640"/>
      </w:pPr>
    </w:lvl>
    <w:lvl w:ilvl="4">
      <w:start w:val="2"/>
      <w:numFmt w:val="decimal"/>
      <w:lvlText w:val="(%5)"/>
      <w:lvlJc w:val="left"/>
      <w:pPr>
        <w:tabs>
          <w:tab w:pos="2880" w:val="num"/>
        </w:tabs>
        <w:ind w:hanging="480" w:left="3360"/>
      </w:pPr>
    </w:lvl>
    <w:lvl w:ilvl="5">
      <w:start w:val="2"/>
      <w:numFmt w:val="decimal"/>
      <w:lvlText w:val="(%6)"/>
      <w:lvlJc w:val="left"/>
      <w:pPr>
        <w:tabs>
          <w:tab w:pos="3600" w:val="num"/>
        </w:tabs>
        <w:ind w:hanging="480" w:left="4080"/>
      </w:pPr>
    </w:lvl>
    <w:lvl w:ilvl="6">
      <w:start w:val="2"/>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15:restartNumberingAfterBreak="0" w:abstractNumId="3">
    <w:nsid w:val="7DE33EB1"/>
    <w:multiLevelType w:val="multilevel"/>
    <w:tmpl w:val="A32A18EE"/>
    <w:lvl w:ilvl="0">
      <w:start w:val="3"/>
      <w:numFmt w:val="decimal"/>
      <w:lvlText w:val="(%1)"/>
      <w:lvlJc w:val="left"/>
      <w:pPr>
        <w:tabs>
          <w:tab w:pos="0" w:val="num"/>
        </w:tabs>
        <w:ind w:hanging="480" w:left="480"/>
      </w:pPr>
    </w:lvl>
    <w:lvl w:ilvl="1">
      <w:start w:val="3"/>
      <w:numFmt w:val="decimal"/>
      <w:lvlText w:val="(%2)"/>
      <w:lvlJc w:val="left"/>
      <w:pPr>
        <w:tabs>
          <w:tab w:pos="720" w:val="num"/>
        </w:tabs>
        <w:ind w:hanging="480" w:left="1200"/>
      </w:pPr>
    </w:lvl>
    <w:lvl w:ilvl="2">
      <w:start w:val="3"/>
      <w:numFmt w:val="decimal"/>
      <w:lvlText w:val="(%3)"/>
      <w:lvlJc w:val="left"/>
      <w:pPr>
        <w:tabs>
          <w:tab w:pos="1440" w:val="num"/>
        </w:tabs>
        <w:ind w:hanging="480" w:left="1920"/>
      </w:pPr>
    </w:lvl>
    <w:lvl w:ilvl="3">
      <w:start w:val="3"/>
      <w:numFmt w:val="decimal"/>
      <w:lvlText w:val="(%4)"/>
      <w:lvlJc w:val="left"/>
      <w:pPr>
        <w:tabs>
          <w:tab w:pos="2160" w:val="num"/>
        </w:tabs>
        <w:ind w:hanging="480" w:left="2640"/>
      </w:pPr>
    </w:lvl>
    <w:lvl w:ilvl="4">
      <w:start w:val="3"/>
      <w:numFmt w:val="decimal"/>
      <w:lvlText w:val="(%5)"/>
      <w:lvlJc w:val="left"/>
      <w:pPr>
        <w:tabs>
          <w:tab w:pos="2880" w:val="num"/>
        </w:tabs>
        <w:ind w:hanging="480" w:left="3360"/>
      </w:pPr>
    </w:lvl>
    <w:lvl w:ilvl="5">
      <w:start w:val="3"/>
      <w:numFmt w:val="decimal"/>
      <w:lvlText w:val="(%6)"/>
      <w:lvlJc w:val="left"/>
      <w:pPr>
        <w:tabs>
          <w:tab w:pos="3600" w:val="num"/>
        </w:tabs>
        <w:ind w:hanging="480" w:left="4080"/>
      </w:pPr>
    </w:lvl>
    <w:lvl w:ilvl="6">
      <w:start w:val="3"/>
      <w:numFmt w:val="decimal"/>
      <w:lvlText w:val="(%7)"/>
      <w:lvlJc w:val="left"/>
      <w:pPr>
        <w:tabs>
          <w:tab w:pos="4320" w:val="num"/>
        </w:tabs>
        <w:ind w:hanging="480" w:left="4800"/>
      </w:pPr>
    </w:lvl>
    <w:lvl w:ilvl="7">
      <w:numFmt w:val="decimal"/>
      <w:lvlText w:val=""/>
      <w:lvlJc w:val="left"/>
      <w:pPr>
        <w:tabs>
          <w:tab w:pos="0" w:val="num"/>
        </w:tabs>
        <w:ind w:firstLine="0" w:left="0"/>
      </w:pPr>
    </w:lvl>
    <w:lvl w:ilvl="8">
      <w:numFmt w:val="decimal"/>
      <w:lvlText w:val=""/>
      <w:lvlJc w:val="left"/>
      <w:pPr>
        <w:tabs>
          <w:tab w:pos="0" w:val="num"/>
        </w:tabs>
        <w:ind w:firstLine="0" w:left="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887298033" w:numId="1">
    <w:abstractNumId w:val="1"/>
  </w:num>
  <w:num w16cid:durableId="1504660150" w:numId="2">
    <w:abstractNumId w:val="2"/>
  </w:num>
  <w:num w16cid:durableId="1331563840" w:numId="3">
    <w:abstractNumId w:val="3"/>
  </w:num>
  <w:num w16cid:durableId="1756435790" w:numId="4">
    <w:abstractNumId w:val="0"/>
  </w:num>
  <w:num w16cid:durableId="305621393" w:numId="5">
    <w:abstractNumId w:val="1"/>
    <w:lvlOverride w:ilvl="0">
      <w:startOverride w:val="1"/>
    </w:lvlOverride>
  </w:num>
  <w:num w16cid:durableId="1731002885" w:numId="6">
    <w:abstractNumId w:val="2"/>
    <w:lvlOverride w:ilvl="0">
      <w:startOverride w:val="2"/>
    </w:lvlOverride>
  </w:num>
  <w:num w16cid:durableId="949166339" w:numId="7">
    <w:abstractNumId w:val="3"/>
    <w:lvlOverride w:ilvl="0">
      <w:startOverride w:val="3"/>
    </w:lvlOverride>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proofState w:grammar="clean" w:spelling="clean"/>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defaultTabStop w:val="720"/>
  <w:autoHyphenation/>
  <w:characterSpacingControl w:val="doNotCompress"/>
  <w:compat>
    <w:compatSetting w:name="compatibilityMode" w:uri="http://schemas.microsoft.com/office/word" w:val="12"/>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bidi="" w:eastAsia=""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Cs w:val="24"/>
        <w:lang w:bidi="ar-SA" w:eastAsia="en-US" w:val="en-US"/>
      </w:rPr>
    </w:rPrDefault>
    <w:pPrDefault>
      <w:pPr>
        <w:suppressAutoHyphens/>
      </w:pPr>
    </w:pPrDefault>
  </w:docDefaults>
  <w:latentStyles w:count="376" w:defLockedState="0" w:defQFormat="0" w:defSemiHidden="0" w:defUIPriority="0" w:defUnhideWhenUsed="0">
    <w:lsdException w:name="heading 2" w:semiHidden="1" w:unhideWhenUsed="1"/>
    <w:lsdException w:name="heading 3" w:semiHidden="1" w:unhideWhenUsed="1"/>
    <w:lsdException w:name="heading 4" w:semiHidden="1" w:unhideWhenUsed="1"/>
    <w:lsdException w:name="heading 5" w:semiHidden="1" w:unhideWhenUsed="1"/>
    <w:lsdException w:name="heading 6" w:qFormat="1"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Standard" w:type="paragraph">
    <w:name w:val="Normal"/>
    <w:qFormat/>
    <w:rsid w:val="006C57ED"/>
    <w:pPr>
      <w:spacing w:after="180" w:before="180" w:line="360" w:lineRule="auto"/>
    </w:pPr>
  </w:style>
  <w:style w:styleId="berschrift1" w:type="paragraph">
    <w:name w:val="heading 1"/>
    <w:basedOn w:val="Standard"/>
    <w:next w:val="Standard"/>
    <w:uiPriority w:val="9"/>
    <w:qFormat/>
    <w:rsid w:val="006C57ED"/>
    <w:pPr>
      <w:keepNext/>
      <w:keepLines/>
      <w:spacing w:after="120" w:before="600"/>
      <w:outlineLvl w:val="0"/>
    </w:pPr>
    <w:rPr>
      <w:rFonts w:asciiTheme="majorHAnsi" w:cstheme="majorBidi" w:eastAsiaTheme="majorEastAsia" w:hAnsiTheme="majorHAnsi"/>
      <w:b/>
      <w:bCs/>
      <w:sz w:val="22"/>
      <w:szCs w:val="32"/>
    </w:rPr>
  </w:style>
  <w:style w:styleId="berschrift2" w:type="paragraph">
    <w:name w:val="heading 2"/>
    <w:basedOn w:val="Standard"/>
    <w:next w:val="Standard"/>
    <w:uiPriority w:val="9"/>
    <w:unhideWhenUsed/>
    <w:qFormat/>
    <w:rsid w:val="006C57ED"/>
    <w:pPr>
      <w:keepNext/>
      <w:keepLines/>
      <w:spacing w:after="120" w:before="320"/>
      <w:outlineLvl w:val="1"/>
    </w:pPr>
    <w:rPr>
      <w:rFonts w:asciiTheme="majorHAnsi" w:cstheme="majorBidi" w:eastAsiaTheme="majorEastAsia" w:hAnsiTheme="majorHAnsi"/>
      <w:b/>
      <w:bCs/>
      <w:szCs w:val="32"/>
    </w:rPr>
  </w:style>
  <w:style w:styleId="berschrift3" w:type="paragraph">
    <w:name w:val="heading 3"/>
    <w:basedOn w:val="berschrift2"/>
    <w:next w:val="Standard"/>
    <w:uiPriority w:val="9"/>
    <w:unhideWhenUsed/>
    <w:qFormat/>
    <w:rsid w:val="00502A41"/>
    <w:pPr>
      <w:outlineLvl w:val="2"/>
    </w:pPr>
    <w:rPr>
      <w:sz w:val="18"/>
    </w:rPr>
  </w:style>
  <w:style w:styleId="berschrift4" w:type="paragraph">
    <w:name w:val="heading 4"/>
    <w:basedOn w:val="berschrift3"/>
    <w:next w:val="Standard"/>
    <w:uiPriority w:val="9"/>
    <w:unhideWhenUsed/>
    <w:qFormat/>
    <w:rsid w:val="00447E2E"/>
    <w:pPr>
      <w:outlineLvl w:val="3"/>
    </w:pPr>
    <w:rPr>
      <w:sz w:val="16"/>
      <w:lang w:val="es-ES"/>
    </w:rPr>
  </w:style>
  <w:style w:styleId="berschrift5" w:type="paragraph">
    <w:name w:val="heading 5"/>
    <w:basedOn w:val="berschrift4"/>
    <w:next w:val="Standard"/>
    <w:uiPriority w:val="9"/>
    <w:unhideWhenUsed/>
    <w:qFormat/>
    <w:rsid w:val="002D03B3"/>
    <w:pPr>
      <w:outlineLvl w:val="4"/>
    </w:pPr>
  </w:style>
  <w:style w:styleId="berschrift6" w:type="paragraph">
    <w:name w:val="heading 6"/>
    <w:basedOn w:val="Standard"/>
    <w:next w:val="Standard"/>
    <w:link w:val="berschrift6Zchn"/>
    <w:qFormat/>
    <w:rsid w:val="00380EBE"/>
    <w:pPr>
      <w:keepNext/>
      <w:keepLines/>
      <w:pageBreakBefore/>
      <w:spacing w:after="0" w:before="200"/>
      <w:outlineLvl w:val="5"/>
    </w:pPr>
    <w:rPr>
      <w:rFonts w:asciiTheme="majorHAnsi" w:cstheme="majorBidi" w:eastAsiaTheme="majorEastAsia" w:hAnsiTheme="majorHAnsi"/>
      <w:iCs/>
    </w:rPr>
  </w:style>
  <w:style w:default="1" w:styleId="Absatz-Standardschriftart" w:type="character">
    <w:name w:val="Default Paragraph Font"/>
    <w:uiPriority w:val="1"/>
    <w:semiHidden/>
    <w:unhideWhenUsed/>
  </w:style>
  <w:style w:default="1" w:styleId="NormaleTabelle" w:type="table">
    <w:name w:val="Normal Table"/>
    <w:uiPriority w:val="99"/>
    <w:semiHidden/>
    <w:unhideWhenUsed/>
    <w:tblPr>
      <w:tblInd w:type="dxa" w:w="0"/>
      <w:tblCellMar>
        <w:top w:type="dxa" w:w="0"/>
        <w:left w:type="dxa" w:w="108"/>
        <w:bottom w:type="dxa" w:w="0"/>
        <w:right w:type="dxa" w:w="108"/>
      </w:tblCellMar>
    </w:tblPr>
  </w:style>
  <w:style w:default="1" w:styleId="KeineListe" w:type="numbering">
    <w:name w:val="No List"/>
    <w:uiPriority w:val="99"/>
    <w:semiHidden/>
    <w:unhideWhenUsed/>
  </w:style>
  <w:style w:customStyle="1" w:styleId="BodyTextChar" w:type="character">
    <w:name w:val="Body Text Char"/>
    <w:basedOn w:val="Absatz-Standardschriftart"/>
    <w:link w:val="ImageCaption"/>
    <w:qFormat/>
  </w:style>
  <w:style w:customStyle="1" w:styleId="VerbatimChar" w:type="character">
    <w:name w:val="Verbatim Char"/>
    <w:basedOn w:val="BodyTextChar"/>
    <w:link w:val="SourceCode"/>
    <w:qFormat/>
    <w:rPr>
      <w:rFonts w:ascii="Consolas" w:hAnsi="Consolas"/>
      <w:sz w:val="22"/>
    </w:rPr>
  </w:style>
  <w:style w:customStyle="1" w:styleId="FootnoteRef" w:type="character">
    <w:name w:val="Footnote Ref"/>
    <w:basedOn w:val="BodyTextChar"/>
    <w:qFormat/>
    <w:rPr>
      <w:vertAlign w:val="superscript"/>
    </w:rPr>
  </w:style>
  <w:style w:customStyle="1" w:styleId="Link" w:type="character">
    <w:name w:val="Link"/>
    <w:basedOn w:val="BodyTextChar"/>
    <w:qFormat/>
    <w:rPr>
      <w:color w:themeColor="accent1" w:val="4F81BD"/>
    </w:rPr>
  </w:style>
  <w:style w:customStyle="1" w:styleId="KeywordTok" w:type="character">
    <w:name w:val="KeywordTok"/>
    <w:basedOn w:val="VerbatimChar"/>
    <w:qFormat/>
    <w:rPr>
      <w:rFonts w:ascii="Consolas" w:hAnsi="Consolas"/>
      <w:b/>
      <w:color w:val="204A87"/>
      <w:sz w:val="22"/>
      <w:shd w:color="auto" w:fill="F8F8F8" w:val="clear"/>
    </w:rPr>
  </w:style>
  <w:style w:customStyle="1" w:styleId="DataTypeTok" w:type="character">
    <w:name w:val="DataTypeTok"/>
    <w:basedOn w:val="VerbatimChar"/>
    <w:qFormat/>
    <w:rPr>
      <w:rFonts w:ascii="Consolas" w:hAnsi="Consolas"/>
      <w:color w:val="204A87"/>
      <w:sz w:val="22"/>
      <w:shd w:color="auto" w:fill="F8F8F8" w:val="clear"/>
    </w:rPr>
  </w:style>
  <w:style w:customStyle="1" w:styleId="DecValTok" w:type="character">
    <w:name w:val="DecValTok"/>
    <w:basedOn w:val="VerbatimChar"/>
    <w:qFormat/>
    <w:rPr>
      <w:rFonts w:ascii="Consolas" w:hAnsi="Consolas"/>
      <w:color w:val="0000CF"/>
      <w:sz w:val="22"/>
      <w:shd w:color="auto" w:fill="F8F8F8" w:val="clear"/>
    </w:rPr>
  </w:style>
  <w:style w:customStyle="1" w:styleId="BaseNTok" w:type="character">
    <w:name w:val="BaseNTok"/>
    <w:basedOn w:val="VerbatimChar"/>
    <w:qFormat/>
    <w:rPr>
      <w:rFonts w:ascii="Consolas" w:hAnsi="Consolas"/>
      <w:color w:val="0000CF"/>
      <w:sz w:val="22"/>
      <w:shd w:color="auto" w:fill="F8F8F8" w:val="clear"/>
    </w:rPr>
  </w:style>
  <w:style w:customStyle="1" w:styleId="FloatTok" w:type="character">
    <w:name w:val="FloatTok"/>
    <w:basedOn w:val="VerbatimChar"/>
    <w:qFormat/>
    <w:rPr>
      <w:rFonts w:ascii="Consolas" w:hAnsi="Consolas"/>
      <w:color w:val="0000CF"/>
      <w:sz w:val="22"/>
      <w:shd w:color="auto" w:fill="F8F8F8" w:val="clear"/>
    </w:rPr>
  </w:style>
  <w:style w:customStyle="1" w:styleId="CharTok" w:type="character">
    <w:name w:val="CharTok"/>
    <w:basedOn w:val="VerbatimChar"/>
    <w:qFormat/>
    <w:rPr>
      <w:rFonts w:ascii="Consolas" w:hAnsi="Consolas"/>
      <w:color w:val="4E9A06"/>
      <w:sz w:val="22"/>
      <w:shd w:color="auto" w:fill="F8F8F8" w:val="clear"/>
    </w:rPr>
  </w:style>
  <w:style w:customStyle="1" w:styleId="StringTok" w:type="character">
    <w:name w:val="StringTok"/>
    <w:basedOn w:val="VerbatimChar"/>
    <w:qFormat/>
    <w:rPr>
      <w:rFonts w:ascii="Consolas" w:hAnsi="Consolas"/>
      <w:color w:val="4E9A06"/>
      <w:sz w:val="22"/>
      <w:shd w:color="auto" w:fill="F8F8F8" w:val="clear"/>
    </w:rPr>
  </w:style>
  <w:style w:customStyle="1" w:styleId="CommentTok" w:type="character">
    <w:name w:val="CommentTok"/>
    <w:basedOn w:val="VerbatimChar"/>
    <w:qFormat/>
    <w:rPr>
      <w:rFonts w:ascii="Consolas" w:hAnsi="Consolas"/>
      <w:i/>
      <w:color w:val="8F5902"/>
      <w:sz w:val="22"/>
      <w:shd w:color="auto" w:fill="F8F8F8" w:val="clear"/>
    </w:rPr>
  </w:style>
  <w:style w:customStyle="1" w:styleId="OtherTok" w:type="character">
    <w:name w:val="OtherTok"/>
    <w:basedOn w:val="VerbatimChar"/>
    <w:qFormat/>
    <w:rPr>
      <w:rFonts w:ascii="Consolas" w:hAnsi="Consolas"/>
      <w:color w:val="8F5902"/>
      <w:sz w:val="22"/>
      <w:shd w:color="auto" w:fill="F8F8F8" w:val="clear"/>
    </w:rPr>
  </w:style>
  <w:style w:customStyle="1" w:styleId="AlertTok" w:type="character">
    <w:name w:val="AlertTok"/>
    <w:basedOn w:val="VerbatimChar"/>
    <w:qFormat/>
    <w:rPr>
      <w:rFonts w:ascii="Consolas" w:hAnsi="Consolas"/>
      <w:color w:val="EF2929"/>
      <w:sz w:val="22"/>
      <w:shd w:color="auto" w:fill="F8F8F8" w:val="clear"/>
    </w:rPr>
  </w:style>
  <w:style w:customStyle="1" w:styleId="FunctionTok" w:type="character">
    <w:name w:val="FunctionTok"/>
    <w:basedOn w:val="VerbatimChar"/>
    <w:qFormat/>
    <w:rPr>
      <w:rFonts w:ascii="Consolas" w:hAnsi="Consolas"/>
      <w:color w:val="000000"/>
      <w:sz w:val="22"/>
      <w:shd w:color="auto" w:fill="F8F8F8" w:val="clear"/>
    </w:rPr>
  </w:style>
  <w:style w:customStyle="1" w:styleId="RegionMarkerTok" w:type="character">
    <w:name w:val="RegionMarkerTok"/>
    <w:basedOn w:val="VerbatimChar"/>
    <w:qFormat/>
    <w:rPr>
      <w:rFonts w:ascii="Consolas" w:hAnsi="Consolas"/>
      <w:sz w:val="22"/>
      <w:shd w:color="auto" w:fill="F8F8F8" w:val="clear"/>
    </w:rPr>
  </w:style>
  <w:style w:customStyle="1" w:styleId="ErrorTok" w:type="character">
    <w:name w:val="ErrorTok"/>
    <w:basedOn w:val="VerbatimChar"/>
    <w:qFormat/>
    <w:rPr>
      <w:rFonts w:ascii="Consolas" w:hAnsi="Consolas"/>
      <w:b/>
      <w:sz w:val="22"/>
      <w:shd w:color="auto" w:fill="F8F8F8" w:val="clear"/>
    </w:rPr>
  </w:style>
  <w:style w:customStyle="1" w:styleId="NormalTok" w:type="character">
    <w:name w:val="NormalTok"/>
    <w:basedOn w:val="VerbatimChar"/>
    <w:qFormat/>
    <w:rPr>
      <w:rFonts w:ascii="Consolas" w:hAnsi="Consolas"/>
      <w:sz w:val="22"/>
      <w:shd w:color="auto" w:fill="F8F8F8" w:val="clear"/>
    </w:rPr>
  </w:style>
  <w:style w:styleId="Hyperlink" w:type="character">
    <w:name w:val="Hyperlink"/>
    <w:basedOn w:val="Absatz-Standardschriftart"/>
    <w:rsid w:val="00A6715F"/>
    <w:rPr>
      <w:color w:themeColor="hyperlink" w:val="0000FF"/>
      <w:u w:val="single"/>
    </w:rPr>
  </w:style>
  <w:style w:customStyle="1" w:styleId="berschrift6Zchn" w:type="character">
    <w:name w:val="Überschrift 6 Zchn"/>
    <w:basedOn w:val="Absatz-Standardschriftart"/>
    <w:link w:val="berschrift6"/>
    <w:qFormat/>
    <w:rsid w:val="00380EBE"/>
    <w:rPr>
      <w:rFonts w:asciiTheme="majorHAnsi" w:cstheme="majorBidi" w:eastAsiaTheme="majorEastAsia" w:hAnsiTheme="majorHAnsi"/>
      <w:iCs/>
      <w:sz w:val="20"/>
    </w:rPr>
  </w:style>
  <w:style w:customStyle="1" w:styleId="TextkrperZchn" w:type="character">
    <w:name w:val="Textkörper Zchn"/>
    <w:basedOn w:val="Absatz-Standardschriftart"/>
    <w:link w:val="Textkrper"/>
    <w:qFormat/>
    <w:rsid w:val="00C102C2"/>
    <w:rPr>
      <w:sz w:val="20"/>
    </w:rPr>
  </w:style>
  <w:style w:styleId="Zeilennummer" w:type="character">
    <w:name w:val="line number"/>
    <w:basedOn w:val="Absatz-Standardschriftart"/>
    <w:qFormat/>
    <w:rsid w:val="005620F8"/>
  </w:style>
  <w:style w:customStyle="1" w:styleId="KopfzeileZchn" w:type="character">
    <w:name w:val="Kopfzeile Zchn"/>
    <w:basedOn w:val="Absatz-Standardschriftart"/>
    <w:link w:val="Kopfzeile"/>
    <w:qFormat/>
    <w:rsid w:val="000B51C4"/>
    <w:rPr>
      <w:sz w:val="20"/>
    </w:rPr>
  </w:style>
  <w:style w:customStyle="1" w:styleId="FuzeileZchn" w:type="character">
    <w:name w:val="Fußzeile Zchn"/>
    <w:basedOn w:val="Absatz-Standardschriftart"/>
    <w:link w:val="Fuzeile"/>
    <w:uiPriority w:val="99"/>
    <w:qFormat/>
    <w:rsid w:val="000B51C4"/>
    <w:rPr>
      <w:sz w:val="20"/>
    </w:rPr>
  </w:style>
  <w:style w:customStyle="1" w:styleId="LineNumbering" w:type="character">
    <w:name w:val="Line Numbering"/>
  </w:style>
  <w:style w:customStyle="1" w:styleId="Heading" w:type="paragraph">
    <w:name w:val="Heading"/>
    <w:basedOn w:val="Standard"/>
    <w:next w:val="Textkrper"/>
    <w:qFormat/>
    <w:pPr>
      <w:keepNext/>
      <w:spacing w:after="120" w:before="240"/>
    </w:pPr>
    <w:rPr>
      <w:rFonts w:ascii="Liberation Sans" w:cs="Lohit Devanagari" w:eastAsia="Noto Sans CJK SC" w:hAnsi="Liberation Sans"/>
      <w:sz w:val="28"/>
      <w:szCs w:val="28"/>
    </w:rPr>
  </w:style>
  <w:style w:styleId="Textkrper" w:type="paragraph">
    <w:name w:val="Body Text"/>
    <w:basedOn w:val="Standard"/>
    <w:link w:val="TextkrperZchn"/>
    <w:pPr>
      <w:spacing w:after="120"/>
    </w:pPr>
  </w:style>
  <w:style w:styleId="Liste" w:type="paragraph">
    <w:name w:val="List"/>
    <w:basedOn w:val="Textkrper"/>
    <w:rPr>
      <w:rFonts w:cs="Lohit Devanagari"/>
    </w:rPr>
  </w:style>
  <w:style w:styleId="Beschriftung" w:type="paragraph">
    <w:name w:val="caption"/>
    <w:basedOn w:val="Standard"/>
    <w:qFormat/>
    <w:pPr>
      <w:suppressLineNumbers/>
      <w:spacing w:after="120" w:before="120"/>
    </w:pPr>
    <w:rPr>
      <w:rFonts w:cs="Lohit Devanagari"/>
      <w:i/>
      <w:iCs/>
      <w:sz w:val="24"/>
    </w:rPr>
  </w:style>
  <w:style w:customStyle="1" w:styleId="Index" w:type="paragraph">
    <w:name w:val="Index"/>
    <w:basedOn w:val="Standard"/>
    <w:qFormat/>
    <w:pPr>
      <w:suppressLineNumbers/>
    </w:pPr>
    <w:rPr>
      <w:rFonts w:cs="Lohit Devanagari"/>
    </w:rPr>
  </w:style>
  <w:style w:customStyle="1" w:styleId="Compact" w:type="paragraph">
    <w:name w:val="Compact"/>
    <w:basedOn w:val="Standard"/>
    <w:qFormat/>
    <w:pPr>
      <w:spacing w:after="36" w:before="36"/>
    </w:pPr>
  </w:style>
  <w:style w:styleId="Titel" w:type="paragraph">
    <w:name w:val="Title"/>
    <w:basedOn w:val="Standard"/>
    <w:next w:val="Standard"/>
    <w:qFormat/>
    <w:rsid w:val="00EC1535"/>
    <w:pPr>
      <w:keepNext/>
      <w:keepLines/>
      <w:spacing w:after="720" w:before="480"/>
    </w:pPr>
    <w:rPr>
      <w:rFonts w:asciiTheme="majorHAnsi" w:cstheme="majorBidi" w:eastAsiaTheme="majorEastAsia" w:hAnsiTheme="majorHAnsi"/>
      <w:b/>
      <w:bCs/>
      <w:sz w:val="28"/>
      <w:szCs w:val="36"/>
    </w:rPr>
  </w:style>
  <w:style w:styleId="Untertitel" w:type="paragraph">
    <w:name w:val="Subtitle"/>
    <w:basedOn w:val="Titel"/>
    <w:next w:val="Standard"/>
    <w:qFormat/>
    <w:pPr>
      <w:spacing w:before="240"/>
    </w:pPr>
    <w:rPr>
      <w:sz w:val="30"/>
      <w:szCs w:val="30"/>
    </w:rPr>
  </w:style>
  <w:style w:customStyle="1" w:styleId="Author" w:type="paragraph">
    <w:name w:val="Author"/>
    <w:next w:val="Standard"/>
    <w:qFormat/>
    <w:rsid w:val="005F1DFC"/>
    <w:pPr>
      <w:keepNext/>
      <w:keepLines/>
      <w:spacing w:after="320" w:before="120"/>
    </w:pPr>
  </w:style>
  <w:style w:styleId="Datum" w:type="paragraph">
    <w:name w:val="Date"/>
    <w:next w:val="Standard"/>
    <w:qFormat/>
    <w:pPr>
      <w:keepNext/>
      <w:keepLines/>
      <w:spacing w:after="200"/>
      <w:jc w:val="center"/>
    </w:pPr>
  </w:style>
  <w:style w:customStyle="1" w:styleId="Abstract" w:type="paragraph">
    <w:name w:val="Abstract"/>
    <w:basedOn w:val="Standard"/>
    <w:next w:val="Standard"/>
    <w:qFormat/>
    <w:pPr>
      <w:keepNext/>
      <w:keepLines/>
      <w:spacing w:after="300" w:before="300"/>
    </w:pPr>
    <w:rPr>
      <w:szCs w:val="20"/>
    </w:rPr>
  </w:style>
  <w:style w:styleId="Literaturverzeichnis" w:type="paragraph">
    <w:name w:val="Bibliography"/>
    <w:basedOn w:val="Standard"/>
    <w:qFormat/>
    <w:rsid w:val="006C57ED"/>
    <w:pPr>
      <w:ind w:hanging="567" w:left="567"/>
    </w:pPr>
  </w:style>
  <w:style w:customStyle="1" w:styleId="BlockQuote" w:type="paragraph">
    <w:name w:val="Block Quote"/>
    <w:basedOn w:val="Standard"/>
    <w:next w:val="Standard"/>
    <w:uiPriority w:val="9"/>
    <w:unhideWhenUsed/>
    <w:qFormat/>
    <w:rsid w:val="00975FD8"/>
    <w:pPr>
      <w:spacing w:after="100" w:before="100" w:line="240" w:lineRule="auto"/>
    </w:pPr>
    <w:rPr>
      <w:rFonts w:asciiTheme="majorHAnsi" w:cstheme="majorBidi" w:eastAsiaTheme="majorEastAsia" w:hAnsiTheme="majorHAnsi"/>
      <w:bCs/>
      <w:szCs w:val="20"/>
    </w:rPr>
  </w:style>
  <w:style w:styleId="Funotentext" w:type="paragraph">
    <w:name w:val="footnote text"/>
    <w:basedOn w:val="Standard"/>
    <w:uiPriority w:val="9"/>
    <w:unhideWhenUsed/>
    <w:qFormat/>
  </w:style>
  <w:style w:customStyle="1" w:styleId="DefinitionTerm" w:type="paragraph">
    <w:name w:val="Definition Term"/>
    <w:basedOn w:val="Standard"/>
    <w:next w:val="Definition"/>
    <w:qFormat/>
    <w:pPr>
      <w:keepNext/>
      <w:keepLines/>
      <w:spacing w:after="0"/>
    </w:pPr>
    <w:rPr>
      <w:b/>
    </w:rPr>
  </w:style>
  <w:style w:customStyle="1" w:styleId="Definition" w:type="paragraph">
    <w:name w:val="Definition"/>
    <w:basedOn w:val="Standard"/>
    <w:qFormat/>
  </w:style>
  <w:style w:customStyle="1" w:styleId="TableCaption" w:type="paragraph">
    <w:name w:val="Table Caption"/>
    <w:basedOn w:val="Standard"/>
    <w:qFormat/>
    <w:pPr>
      <w:spacing w:after="120" w:before="0"/>
    </w:pPr>
    <w:rPr>
      <w:i/>
    </w:rPr>
  </w:style>
  <w:style w:customStyle="1" w:styleId="ImageCaption" w:type="paragraph">
    <w:name w:val="Image Caption"/>
    <w:basedOn w:val="Standard"/>
    <w:link w:val="BodyTextChar"/>
    <w:qFormat/>
    <w:pPr>
      <w:spacing w:after="120" w:before="0"/>
    </w:pPr>
    <w:rPr>
      <w:i/>
    </w:rPr>
  </w:style>
  <w:style w:customStyle="1" w:styleId="SourceCode" w:type="paragraph">
    <w:name w:val="Source Code"/>
    <w:basedOn w:val="Standard"/>
    <w:link w:val="VerbatimChar"/>
    <w:qFormat/>
    <w:pPr>
      <w:shd w:color="auto" w:fill="F8F8F8" w:val="clear"/>
    </w:pPr>
  </w:style>
  <w:style w:customStyle="1" w:styleId="HeaderandFooter" w:type="paragraph">
    <w:name w:val="Header and Footer"/>
    <w:basedOn w:val="Standard"/>
    <w:qFormat/>
  </w:style>
  <w:style w:styleId="Kopfzeile" w:type="paragraph">
    <w:name w:val="header"/>
    <w:basedOn w:val="Standard"/>
    <w:link w:val="KopfzeileZchn"/>
    <w:rsid w:val="000B51C4"/>
    <w:pPr>
      <w:suppressLineNumbers/>
      <w:tabs>
        <w:tab w:pos="4513" w:val="center"/>
        <w:tab w:pos="9026" w:val="right"/>
      </w:tabs>
      <w:spacing w:after="0" w:before="0" w:line="240" w:lineRule="auto"/>
    </w:pPr>
  </w:style>
  <w:style w:styleId="Fuzeile" w:type="paragraph">
    <w:name w:val="footer"/>
    <w:basedOn w:val="Standard"/>
    <w:link w:val="FuzeileZchn"/>
    <w:uiPriority w:val="99"/>
    <w:rsid w:val="000B51C4"/>
    <w:pPr>
      <w:suppressLineNumbers/>
      <w:tabs>
        <w:tab w:pos="4513" w:val="center"/>
        <w:tab w:pos="9026" w:val="right"/>
      </w:tabs>
      <w:spacing w:after="0" w:before="0" w:line="240" w:lineRule="auto"/>
    </w:pPr>
  </w:style>
  <w:style w:type="character" w:customStyle="1" w:styleId="ConstantTok">
    <w:name w:val="ConstantTok"/>
    <w:basedOn w:val="VerbatimChar"/>
    <w:rPr>
      <w:color w:val="000000"/>
      <w:shd w:val="clear" w:fill="f8f8f8"/>
    </w:rPr>
  </w:style>
  <w:style w:type="character" w:customStyle="1" w:styleId="SpecialCharTok">
    <w:name w:val="SpecialCharTok"/>
    <w:basedOn w:val="VerbatimChar"/>
    <w:rPr>
      <w:color w:val="000000"/>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footer1.xml" Type="http://schemas.openxmlformats.org/officeDocument/2006/relationships/footer" /><Relationship Type="http://schemas.openxmlformats.org/officeDocument/2006/relationships/image" Id="rId73" Target="media/rId73.tiff" /><Relationship Type="http://schemas.openxmlformats.org/officeDocument/2006/relationships/image" Id="rId84" Target="media/rId84.shtml" /><Relationship Type="http://schemas.openxmlformats.org/officeDocument/2006/relationships/hyperlink" Id="rId63" Target="https://CRAN.R-project.org/package=vegan" TargetMode="External" /><Relationship Type="http://schemas.openxmlformats.org/officeDocument/2006/relationships/hyperlink" Id="rId44" Target="https://cdc.dwd.de/portal/" TargetMode="External" /><Relationship Type="http://schemas.openxmlformats.org/officeDocument/2006/relationships/hyperlink" Id="rId40" Target="https://doi.org/10.1007/978-3-7091-8110-2" TargetMode="External" /><Relationship Type="http://schemas.openxmlformats.org/officeDocument/2006/relationships/hyperlink" Id="rId59" Target="https://doi.org/10.1007/BF00055300" TargetMode="External" /><Relationship Type="http://schemas.openxmlformats.org/officeDocument/2006/relationships/hyperlink" Id="rId55" Target="https://doi.org/10.1038/s41562-021-01177-7" TargetMode="External" /><Relationship Type="http://schemas.openxmlformats.org/officeDocument/2006/relationships/hyperlink" Id="rId53" Target="https://doi.org/10.1080/00031305.2018.1549100" TargetMode="External" /><Relationship Type="http://schemas.openxmlformats.org/officeDocument/2006/relationships/hyperlink" Id="rId61" Target="https://doi.org/10.1111/avsc.12257" TargetMode="External" /><Relationship Type="http://schemas.openxmlformats.org/officeDocument/2006/relationships/hyperlink" Id="rId57" Target="https://doi.org/10.1111/rec.13636" TargetMode="External" /><Relationship Type="http://schemas.openxmlformats.org/officeDocument/2006/relationships/hyperlink" Id="rId51" Target="https://doi.org/10.1111/rssa.12378" TargetMode="External" /><Relationship Type="http://schemas.openxmlformats.org/officeDocument/2006/relationships/hyperlink" Id="rId42" Target="https://doi.org/10.18637/jss.v080.i01" TargetMode="External" /><Relationship Type="http://schemas.openxmlformats.org/officeDocument/2006/relationships/hyperlink" Id="rId26" Target="https://github.com/markus1bauer/2023_danube_dike_experiment/blob/main/markdown/" TargetMode="External" /><Relationship Type="http://schemas.openxmlformats.org/officeDocument/2006/relationships/hyperlink" Id="rId34" Target="https://github.com/markus1bauer/2023_danube_dike_experiment/tree/main/markdown" TargetMode="External" /><Relationship Type="http://schemas.openxmlformats.org/officeDocument/2006/relationships/hyperlink" Id="rId49" Target="https://mc-stan.org/bayesplot/" TargetMode="External" /><Relationship Type="http://schemas.openxmlformats.org/officeDocument/2006/relationships/hyperlink" Id="rId65" Target="https://www.R-project.org/" TargetMode="External" /><Relationship Type="http://schemas.openxmlformats.org/officeDocument/2006/relationships/hyperlink" Id="rId47" Target="https://www.dwd.de" TargetMode="External" /><Relationship Type="http://schemas.openxmlformats.org/officeDocument/2006/relationships/hyperlink" Id="rId37" Target="https://www.gkd.bayern.de/en/rivers/discharge/passau/pfelling-10078000/total-period" TargetMode="External" /><Relationship Type="http://schemas.openxmlformats.org/officeDocument/2006/relationships/hyperlink" Id="rId20" Target="mailto:markus1.bauer@tum.de" TargetMode="External" /></Relationships>
</file>

<file path=word/_rels/footnotes.xml.rels><?xml version="1.0" encoding="UTF-8"?><Relationships xmlns="http://schemas.openxmlformats.org/package/2006/relationships"><Relationship Type="http://schemas.openxmlformats.org/officeDocument/2006/relationships/hyperlink" Id="rId63" Target="https://CRAN.R-project.org/package=vegan" TargetMode="External" /><Relationship Type="http://schemas.openxmlformats.org/officeDocument/2006/relationships/hyperlink" Id="rId44" Target="https://cdc.dwd.de/portal/" TargetMode="External" /><Relationship Type="http://schemas.openxmlformats.org/officeDocument/2006/relationships/hyperlink" Id="rId40" Target="https://doi.org/10.1007/978-3-7091-8110-2" TargetMode="External" /><Relationship Type="http://schemas.openxmlformats.org/officeDocument/2006/relationships/hyperlink" Id="rId59" Target="https://doi.org/10.1007/BF00055300" TargetMode="External" /><Relationship Type="http://schemas.openxmlformats.org/officeDocument/2006/relationships/hyperlink" Id="rId55" Target="https://doi.org/10.1038/s41562-021-01177-7" TargetMode="External" /><Relationship Type="http://schemas.openxmlformats.org/officeDocument/2006/relationships/hyperlink" Id="rId53" Target="https://doi.org/10.1080/00031305.2018.1549100" TargetMode="External" /><Relationship Type="http://schemas.openxmlformats.org/officeDocument/2006/relationships/hyperlink" Id="rId61" Target="https://doi.org/10.1111/avsc.12257" TargetMode="External" /><Relationship Type="http://schemas.openxmlformats.org/officeDocument/2006/relationships/hyperlink" Id="rId57" Target="https://doi.org/10.1111/rec.13636" TargetMode="External" /><Relationship Type="http://schemas.openxmlformats.org/officeDocument/2006/relationships/hyperlink" Id="rId51" Target="https://doi.org/10.1111/rssa.12378" TargetMode="External" /><Relationship Type="http://schemas.openxmlformats.org/officeDocument/2006/relationships/hyperlink" Id="rId42" Target="https://doi.org/10.18637/jss.v080.i01" TargetMode="External" /><Relationship Type="http://schemas.openxmlformats.org/officeDocument/2006/relationships/hyperlink" Id="rId26" Target="https://github.com/markus1bauer/2023_danube_dike_experiment/blob/main/markdown/" TargetMode="External" /><Relationship Type="http://schemas.openxmlformats.org/officeDocument/2006/relationships/hyperlink" Id="rId34" Target="https://github.com/markus1bauer/2023_danube_dike_experiment/tree/main/markdown" TargetMode="External" /><Relationship Type="http://schemas.openxmlformats.org/officeDocument/2006/relationships/hyperlink" Id="rId49" Target="https://mc-stan.org/bayesplot/" TargetMode="External" /><Relationship Type="http://schemas.openxmlformats.org/officeDocument/2006/relationships/hyperlink" Id="rId65" Target="https://www.R-project.org/" TargetMode="External" /><Relationship Type="http://schemas.openxmlformats.org/officeDocument/2006/relationships/hyperlink" Id="rId47" Target="https://www.dwd.de" TargetMode="External" /><Relationship Type="http://schemas.openxmlformats.org/officeDocument/2006/relationships/hyperlink" Id="rId37" Target="https://www.gkd.bayern.de/en/rivers/discharge/passau/pfelling-10078000/total-period" TargetMode="External" /><Relationship Type="http://schemas.openxmlformats.org/officeDocument/2006/relationships/hyperlink" Id="rId20" Target="mailto:markus1.bauer@tum.d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721</Words>
  <Characters>4111</Characters>
  <Application>Microsoft Office Word</Application>
  <DocSecurity>0</DocSecurity>
  <Lines>34</Lines>
  <Paragraphs>9</Paragraphs>
  <ScaleCrop>false</ScaleCrop>
  <Company>Microsoft</Company>
  <LinksUpToDate>false</LinksUpToDate>
  <CharactersWithSpaces>4823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Dike experiment</dc:title>
  <dc:creator>Markus Bauer*, Jakob Huber, Johannes Kollmann</dc:creator>
  <cp:keywords/>
  <dcterms:created xsi:type="dcterms:W3CDTF">2022-12-16T15:36:43Z</dcterms:created>
  <dcterms:modified xsi:type="dcterms:W3CDTF">2022-12-16T15:36:43Z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bibliography.bib</vt:lpwstr>
  </property>
  <property fmtid="{D5CDD505-2E9C-101B-9397-08002B2CF9AE}" pid="3" name="csl">
    <vt:lpwstr>template-journal-of-vegetation-science.csl</vt:lpwstr>
  </property>
  <property fmtid="{D5CDD505-2E9C-101B-9397-08002B2CF9AE}" pid="4" name="output">
    <vt:lpwstr/>
  </property>
</Properties>
</file>