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pPr>
      <w:r>
        <w:rPr>
          <w:rFonts w:ascii="Calibri" w:hAnsi="Calibri" w:cs="Calibri"/>
          <w:b/>
          <w:i w:val="0"/>
          <w:caps/>
          <w:color w:val="5A636E"/>
          <w:sz w:val="17"/>
        </w:rPr>
        <w:t>Kirche und Staat  ·  Doppelstunde 2  ·  Wenn du krank warst</w:t>
      </w:r>
    </w:p>
    <w:p>
      <w:pPr>
        <w:spacing w:before="0" w:after="0" w:line="252" w:lineRule="auto"/>
      </w:pPr>
      <w:r>
        <w:rPr>
          <w:rFonts w:ascii="Cambria" w:hAnsi="Cambria" w:cs="Cambria"/>
          <w:b/>
          <w:i w:val="0"/>
          <w:color w:val="1E3A5F"/>
          <w:sz w:val="42"/>
        </w:rPr>
        <w:t>1933: Die Kirche jubelt mit</w:t>
      </w:r>
    </w:p>
    <w:p>
      <w:pPr>
        <w:spacing w:before="0" w:after="200" w:line="252" w:lineRule="auto"/>
      </w:pPr>
      <w:r>
        <w:rPr>
          <w:rFonts w:ascii="Cambria" w:hAnsi="Cambria" w:cs="Cambria"/>
          <w:b w:val="0"/>
          <w:i/>
          <w:color w:val="5A636E"/>
          <w:sz w:val="23"/>
        </w:rPr>
        <w:t>Warum die Frage nicht lautet „Wie konnten die nur?“</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F2F0E8"/>
          </w:tcPr>
          <w:p>
            <w:pPr>
              <w:spacing w:before="120" w:after="60" w:line="252" w:lineRule="auto"/>
            </w:pPr>
            <w:r>
              <w:rPr>
                <w:rFonts w:ascii="Calibri" w:hAnsi="Calibri" w:cs="Calibri"/>
                <w:b/>
                <w:i w:val="0"/>
                <w:caps/>
                <w:color w:val="1E3A5F"/>
                <w:sz w:val="19"/>
              </w:rPr>
              <w:t>Fünf Minuten lesen — mehr ist das nicht.</w:t>
            </w:r>
          </w:p>
          <w:p>
            <w:pPr>
              <w:spacing w:before="0" w:after="140" w:line="252" w:lineRule="auto"/>
            </w:pPr>
            <w:r>
              <w:rPr>
                <w:rFonts w:ascii="Calibri" w:hAnsi="Calibri" w:cs="Calibri"/>
                <w:b w:val="0"/>
                <w:i w:val="0"/>
                <w:color w:val="151A21"/>
                <w:sz w:val="20"/>
              </w:rPr>
              <w:t>Wir haben Quellen aus dem Jahr 1933 gelesen — und die sind unbequem: Große Teile der evangelischen Kirche haben die Machtübernahme der Nationalsozialisten nicht nur hingenommen, sondern begeistert begrüßt. Gottesdienste mit Hakenkreuzfahnen waren keine Ausnahme. Die eigentliche Frage der Stunde war deshalb nicht „Wie konnten die nur?“, sondern die schwierigere: „Was war daran für die Menschen damals so überzeugend?“</w:t>
            </w:r>
          </w:p>
        </w:tc>
      </w:tr>
    </w:tbl>
    <w:p>
      <w:pPr>
        <w:spacing w:before="240" w:after="80" w:line="252" w:lineRule="auto"/>
      </w:pPr>
      <w:r>
        <w:rPr>
          <w:rFonts w:ascii="Cambria" w:hAnsi="Cambria" w:cs="Cambria"/>
          <w:b/>
          <w:i w:val="0"/>
          <w:color w:val="1E3A5F"/>
          <w:sz w:val="25"/>
        </w:rPr>
        <w:t>Das musst du wissen</w:t>
      </w:r>
    </w:p>
    <w:p>
      <w:pPr>
        <w:spacing w:before="0" w:after="100" w:line="252" w:lineRule="auto"/>
        <w:ind w:left="425" w:hanging="425"/>
      </w:pPr>
      <w:r>
        <w:rPr>
          <w:rFonts w:ascii="Calibri" w:hAnsi="Calibri" w:cs="Calibri"/>
          <w:b/>
          <w:i w:val="0"/>
          <w:color w:val="1E3A5F"/>
          <w:sz w:val="20"/>
        </w:rPr>
        <w:t xml:space="preserve">1  </w:t>
      </w:r>
      <w:r>
        <w:rPr>
          <w:rFonts w:ascii="Calibri" w:hAnsi="Calibri" w:cs="Calibri"/>
          <w:b/>
          <w:i w:val="0"/>
          <w:color w:val="151A21"/>
          <w:sz w:val="20"/>
        </w:rPr>
        <w:t xml:space="preserve">Die „Deutschen Christen“. </w:t>
      </w:r>
      <w:r>
        <w:rPr>
          <w:rFonts w:ascii="Calibri" w:hAnsi="Calibri" w:cs="Calibri"/>
          <w:b w:val="0"/>
          <w:i w:val="0"/>
          <w:color w:val="151A21"/>
          <w:sz w:val="20"/>
        </w:rPr>
        <w:t>Eine Bewegung innerhalb der evangelischen Kirche, die Christentum und nationalsozialistische Weltanschauung verschmelzen wollte. Bei der Kirchenwahl im Juli 1933 gewann sie rund zwei Drittel der Sitze. Ludwig Müller wurde Reichsbischof.</w:t>
      </w:r>
    </w:p>
    <w:p>
      <w:pPr>
        <w:spacing w:before="0" w:after="100" w:line="252" w:lineRule="auto"/>
        <w:ind w:left="425" w:hanging="425"/>
      </w:pPr>
      <w:r>
        <w:rPr>
          <w:rFonts w:ascii="Calibri" w:hAnsi="Calibri" w:cs="Calibri"/>
          <w:b/>
          <w:i w:val="0"/>
          <w:color w:val="1E3A5F"/>
          <w:sz w:val="20"/>
        </w:rPr>
        <w:t xml:space="preserve">2  </w:t>
      </w:r>
      <w:r>
        <w:rPr>
          <w:rFonts w:ascii="Calibri" w:hAnsi="Calibri" w:cs="Calibri"/>
          <w:b/>
          <w:i w:val="0"/>
          <w:color w:val="151A21"/>
          <w:sz w:val="20"/>
        </w:rPr>
        <w:t xml:space="preserve">Der Arierparagraph in der Kirche. </w:t>
      </w:r>
      <w:r>
        <w:rPr>
          <w:rFonts w:ascii="Calibri" w:hAnsi="Calibri" w:cs="Calibri"/>
          <w:b w:val="0"/>
          <w:i w:val="0"/>
          <w:color w:val="151A21"/>
          <w:sz w:val="20"/>
        </w:rPr>
        <w:t>Getaufte Christen jüdischer Herkunft sollten aus dem Pfarramt entfernt werden. Damit war der Streit kein politischer mehr, sondern ein Streit darüber, was die Taufe wert ist.</w:t>
      </w:r>
    </w:p>
    <w:p>
      <w:pPr>
        <w:spacing w:before="0" w:after="100" w:line="252" w:lineRule="auto"/>
        <w:ind w:left="425" w:hanging="425"/>
      </w:pPr>
      <w:r>
        <w:rPr>
          <w:rFonts w:ascii="Calibri" w:hAnsi="Calibri" w:cs="Calibri"/>
          <w:b/>
          <w:i w:val="0"/>
          <w:color w:val="1E3A5F"/>
          <w:sz w:val="20"/>
        </w:rPr>
        <w:t xml:space="preserve">3  </w:t>
      </w:r>
      <w:r>
        <w:rPr>
          <w:rFonts w:ascii="Calibri" w:hAnsi="Calibri" w:cs="Calibri"/>
          <w:b/>
          <w:i w:val="0"/>
          <w:color w:val="151A21"/>
          <w:sz w:val="20"/>
        </w:rPr>
        <w:t xml:space="preserve">Vier Gründe, die wir herausgearbeitet haben. </w:t>
      </w:r>
      <w:r>
        <w:rPr>
          <w:rFonts w:ascii="Calibri" w:hAnsi="Calibri" w:cs="Calibri"/>
          <w:b w:val="0"/>
          <w:i w:val="0"/>
          <w:color w:val="151A21"/>
          <w:sz w:val="20"/>
        </w:rPr>
        <w:t>Angst vor dem Kommunismus, Sehnsucht nach Ordnung nach den unruhigen Weimarer Jahren, eine lange Tradition von „Thron und Altar“ — und ein Judenhass, den es in der Kirche lange vor 1933 gab.</w:t>
      </w:r>
    </w:p>
    <w:p>
      <w:pPr>
        <w:spacing w:before="0" w:after="100" w:line="252" w:lineRule="auto"/>
        <w:ind w:left="425" w:hanging="425"/>
      </w:pPr>
      <w:r>
        <w:rPr>
          <w:rFonts w:ascii="Calibri" w:hAnsi="Calibri" w:cs="Calibri"/>
          <w:b/>
          <w:i w:val="0"/>
          <w:color w:val="1E3A5F"/>
          <w:sz w:val="20"/>
        </w:rPr>
        <w:t xml:space="preserve">4  </w:t>
      </w:r>
      <w:r>
        <w:rPr>
          <w:rFonts w:ascii="Calibri" w:hAnsi="Calibri" w:cs="Calibri"/>
          <w:b/>
          <w:i w:val="0"/>
          <w:color w:val="151A21"/>
          <w:sz w:val="20"/>
        </w:rPr>
        <w:t xml:space="preserve">Zwei Bibelverse, zwei Welten. </w:t>
      </w:r>
      <w:r>
        <w:rPr>
          <w:rFonts w:ascii="Calibri" w:hAnsi="Calibri" w:cs="Calibri"/>
          <w:b w:val="0"/>
          <w:i w:val="0"/>
          <w:color w:val="151A21"/>
          <w:sz w:val="20"/>
        </w:rPr>
        <w:t>Römer 13,1: „Jedermann sei untertan der Obrigkeit.“ Apostelgeschichte 5,29: „Man muss Gott mehr gehorchen als den Menschen.“ Beide Seiten konnten sich auf die Bibel berufen. Das ist der Kern der ganzen Einheit.</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8E2CF"/>
          </w:tcPr>
          <w:p>
            <w:pPr>
              <w:spacing w:before="120" w:after="40" w:line="252" w:lineRule="auto"/>
            </w:pPr>
            <w:r>
              <w:rPr>
                <w:rFonts w:ascii="Calibri" w:hAnsi="Calibri" w:cs="Calibri"/>
                <w:b/>
                <w:i w:val="0"/>
                <w:caps/>
                <w:color w:val="6A5936"/>
                <w:sz w:val="18"/>
              </w:rPr>
              <w:t>Der eine Satz</w:t>
            </w:r>
          </w:p>
          <w:p>
            <w:pPr>
              <w:spacing w:before="0" w:after="140" w:line="252" w:lineRule="auto"/>
            </w:pPr>
            <w:r>
              <w:rPr>
                <w:rFonts w:ascii="Cambria" w:hAnsi="Cambria" w:cs="Cambria"/>
                <w:b w:val="0"/>
                <w:i/>
                <w:color w:val="151A21"/>
                <w:sz w:val="24"/>
              </w:rPr>
              <w:t>Beide Seiten hatten einen Bibelvers. Die Frage war nicht, was in der Bibel steht — sondern welchen Vers man lesen wollte.</w:t>
            </w:r>
          </w:p>
        </w:tc>
      </w:tr>
    </w:tbl>
    <w:p>
      <w:pPr>
        <w:spacing w:before="240" w:after="60" w:line="252" w:lineRule="auto"/>
      </w:pPr>
      <w:r>
        <w:rPr>
          <w:rFonts w:ascii="Cambria" w:hAnsi="Cambria" w:cs="Cambria"/>
          <w:b/>
          <w:i w:val="0"/>
          <w:color w:val="1E3A5F"/>
          <w:sz w:val="25"/>
        </w:rPr>
        <w:t>So geht es weiter</w:t>
      </w:r>
    </w:p>
    <w:p>
      <w:pPr>
        <w:spacing w:before="0" w:after="160" w:line="252" w:lineRule="auto"/>
      </w:pPr>
      <w:r>
        <w:rPr>
          <w:rFonts w:ascii="Calibri" w:hAnsi="Calibri" w:cs="Calibri"/>
          <w:b w:val="0"/>
          <w:i w:val="0"/>
          <w:color w:val="151A21"/>
          <w:sz w:val="20"/>
        </w:rPr>
        <w:t>Nächste Stunde geht es um das Jahr 1934 und um den Satz, mit dem eine Minderheit widersprochen hat. Wenn du Römer 13 und Apostelgeschichte 5 parat hast, kommst du mühelos mit.</w:t>
      </w:r>
    </w:p>
    <w:p>
      <w:pPr>
        <w:spacing w:before="120" w:after="60" w:line="252" w:lineRule="auto"/>
      </w:pPr>
      <w:r>
        <w:rPr>
          <w:rFonts w:ascii="Cambria" w:hAnsi="Cambria" w:cs="Cambria"/>
          <w:b/>
          <w:i w:val="0"/>
          <w:color w:val="265F53"/>
          <w:sz w:val="25"/>
        </w:rPr>
        <w:t>Freiwillig — wenn dir langweilig ist</w:t>
      </w:r>
    </w:p>
    <w:p>
      <w:pPr>
        <w:spacing w:before="0" w:after="60" w:line="252" w:lineRule="auto"/>
        <w:ind w:left="227"/>
      </w:pPr>
      <w:r>
        <w:rPr>
          <w:rFonts w:ascii="Calibri" w:hAnsi="Calibri" w:cs="Calibri"/>
          <w:b/>
          <w:i w:val="0"/>
          <w:color w:val="265F53"/>
          <w:sz w:val="20"/>
        </w:rPr>
        <w:t xml:space="preserve">Nachlesen · 10 Minuten  </w:t>
      </w:r>
      <w:r>
        <w:rPr>
          <w:rFonts w:ascii="Calibri" w:hAnsi="Calibri" w:cs="Calibri"/>
          <w:b w:val="0"/>
          <w:i w:val="0"/>
          <w:color w:val="151A21"/>
          <w:sz w:val="20"/>
        </w:rPr>
        <w:t>„Kirchen im NS-Regime“ beim Lebendigen Museum Online des Deutschen Historischen Museums. Lies nur den Abschnitt zur evangelischen Kirche — der Rest kommt später dran.</w:t>
      </w:r>
    </w:p>
    <w:p>
      <w:pPr>
        <w:spacing w:before="0" w:after="120" w:line="252" w:lineRule="auto"/>
        <w:ind w:left="227"/>
      </w:pPr>
      <w:hyperlink r:id="rId9">
        <w:r>
          <w:rPr>
            <w:u w:val="single"/>
            <w:color w:val="1E3A5F"/>
            <w:rFonts w:ascii="Calibri" w:hAnsi="Calibri" w:cs="Calibri"/>
            <w:sz w:val="19"/>
          </w:rPr>
          <w:t>https://www.dhm.de/lemo/kapitel/ns-regime/innenpolitik/kirchen.html</w:t>
        </w:r>
      </w:hyperlink>
    </w:p>
    <w:p>
      <w:pPr>
        <w:spacing w:before="0" w:after="60" w:line="252" w:lineRule="auto"/>
        <w:ind w:left="227"/>
      </w:pPr>
      <w:r>
        <w:rPr>
          <w:rFonts w:ascii="Calibri" w:hAnsi="Calibri" w:cs="Calibri"/>
          <w:b/>
          <w:i w:val="0"/>
          <w:color w:val="265F53"/>
          <w:sz w:val="20"/>
        </w:rPr>
        <w:t xml:space="preserve">Wenn du mehr willst  </w:t>
      </w:r>
      <w:r>
        <w:rPr>
          <w:rFonts w:ascii="Calibri" w:hAnsi="Calibri" w:cs="Calibri"/>
          <w:b w:val="0"/>
          <w:i w:val="0"/>
          <w:color w:val="151A21"/>
          <w:sz w:val="20"/>
        </w:rPr>
        <w:t>Der Wikipedia-Artikel „Deutsche Christen“ zeigt Plakate und Wahlergebnisse von 1933.</w:t>
      </w:r>
    </w:p>
    <w:p>
      <w:pPr>
        <w:spacing w:before="0" w:after="120" w:line="252" w:lineRule="auto"/>
        <w:ind w:left="227"/>
      </w:pPr>
      <w:hyperlink r:id="rId10">
        <w:r>
          <w:rPr>
            <w:u w:val="single"/>
            <w:color w:val="1E3A5F"/>
            <w:rFonts w:ascii="Calibri" w:hAnsi="Calibri" w:cs="Calibri"/>
            <w:sz w:val="19"/>
          </w:rPr>
          <w:t>https://de.wikipedia.org/wiki/Deutsche_Christen</w:t>
        </w:r>
      </w:hyperlink>
    </w:p>
    <w:p>
      <w:pPr>
        <w:spacing w:before="240" w:after="0" w:line="252" w:lineRule="auto"/>
        <w:jc w:val="left"/>
      </w:pPr>
      <w:r>
        <w:rPr>
          <w:rFonts w:ascii="Calibri" w:hAnsi="Calibri" w:cs="Calibri"/>
          <w:b w:val="0"/>
          <w:i/>
          <w:color w:val="5A636E"/>
          <w:sz w:val="19"/>
        </w:rPr>
        <w:t>Wenn etwas unklar ist: Frag mich — vor der Stunde, in der Stunde oder per Nachricht. Das ist keine Hausaufgabe und wird nicht eingesammelt. Du sollst nur nicht das Gefühl haben, dass du etwas verpasst hast.</w:t>
      </w:r>
    </w:p>
    <w:sectPr w:rsidR="00FC693F" w:rsidRPr="0006063C" w:rsidSect="00034616">
      <w:pgSz w:w="12240" w:h="15840"/>
      <w:pgMar w:top="1077" w:right="1191" w:bottom="90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hm.de/lemo/kapitel/ns-regime/innenpolitik/kirchen.html" TargetMode="External"/><Relationship Id="rId10" Type="http://schemas.openxmlformats.org/officeDocument/2006/relationships/hyperlink" Target="https://de.wikipedia.org/wiki/Deutsche_Chris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