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Calibri" w:hAnsi="Calibri" w:cs="Calibri"/>
          <w:b/>
          <w:i w:val="0"/>
          <w:caps/>
          <w:color w:val="5A636E"/>
          <w:sz w:val="17"/>
        </w:rPr>
        <w:t>Kirche und Staat  ·  Doppelstunde 4  ·  Wenn du krank warst</w:t>
      </w:r>
    </w:p>
    <w:p>
      <w:pPr>
        <w:spacing w:before="0" w:after="0" w:line="252" w:lineRule="auto"/>
      </w:pPr>
      <w:r>
        <w:rPr>
          <w:rFonts w:ascii="Cambria" w:hAnsi="Cambria" w:cs="Cambria"/>
          <w:b/>
          <w:i w:val="0"/>
          <w:color w:val="1E3A5F"/>
          <w:sz w:val="42"/>
        </w:rPr>
        <w:t>Was hätte ich getan?</w:t>
      </w:r>
    </w:p>
    <w:p>
      <w:pPr>
        <w:spacing w:before="0" w:after="200" w:line="252" w:lineRule="auto"/>
      </w:pPr>
      <w:r>
        <w:rPr>
          <w:rFonts w:ascii="Cambria" w:hAnsi="Cambria" w:cs="Cambria"/>
          <w:b w:val="0"/>
          <w:i/>
          <w:color w:val="5A636E"/>
          <w:sz w:val="23"/>
        </w:rPr>
        <w:t>Fünf Biografien zwischen Anpassung und Widerstand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2F0E8"/>
          </w:tcPr>
          <w:p>
            <w:pPr>
              <w:spacing w:before="120" w:after="60" w:line="252" w:lineRule="auto"/>
            </w:pPr>
            <w:r>
              <w:rPr>
                <w:rFonts w:ascii="Calibri" w:hAnsi="Calibri" w:cs="Calibri"/>
                <w:b/>
                <w:i w:val="0"/>
                <w:caps/>
                <w:color w:val="1E3A5F"/>
                <w:sz w:val="19"/>
              </w:rPr>
              <w:t>Fünf Minuten lesen — mehr ist das nicht.</w:t>
            </w:r>
          </w:p>
          <w:p>
            <w:pPr>
              <w:spacing w:before="0" w:after="140" w:line="252" w:lineRule="auto"/>
            </w:pPr>
            <w:r>
              <w:rPr>
                <w:rFonts w:ascii="Calibri" w:hAnsi="Calibri" w:cs="Calibri"/>
                <w:b w:val="0"/>
                <w:i w:val="0"/>
                <w:color w:val="151A21"/>
                <w:sz w:val="20"/>
              </w:rPr>
              <w:t>Wir haben fünf evangelische Christen angeschaut, die alle dieselbe Zeit erlebt haben und sich sehr unterschiedlich verhalten haben. Ihre Karten hängen an einer Leine im Klassenzimmer, zwischen „Anpassung“ und „Widerstand“. Danach haben wir aufgehört, einzelne Menschen zu benoten, und stattdessen gefragt: Was hatten die Leute rechts an der Leine, was die Leute links nicht hatten?</w:t>
            </w:r>
          </w:p>
        </w:tc>
      </w:tr>
    </w:tbl>
    <w:p>
      <w:pPr>
        <w:spacing w:before="240" w:after="80" w:line="252" w:lineRule="auto"/>
      </w:pPr>
      <w:r>
        <w:rPr>
          <w:rFonts w:ascii="Cambria" w:hAnsi="Cambria" w:cs="Cambria"/>
          <w:b/>
          <w:i w:val="0"/>
          <w:color w:val="1E3A5F"/>
          <w:sz w:val="25"/>
        </w:rPr>
        <w:t>Das musst du wissen</w:t>
      </w:r>
    </w:p>
    <w:p>
      <w:pPr>
        <w:spacing w:before="0" w:after="100" w:line="252" w:lineRule="auto"/>
        <w:ind w:left="425" w:hanging="425"/>
      </w:pPr>
      <w:r>
        <w:rPr>
          <w:rFonts w:ascii="Calibri" w:hAnsi="Calibri" w:cs="Calibri"/>
          <w:b/>
          <w:i w:val="0"/>
          <w:color w:val="1E3A5F"/>
          <w:sz w:val="20"/>
        </w:rPr>
        <w:t xml:space="preserve">1  </w:t>
      </w:r>
      <w:r>
        <w:rPr>
          <w:rFonts w:ascii="Calibri" w:hAnsi="Calibri" w:cs="Calibri"/>
          <w:b/>
          <w:i w:val="0"/>
          <w:color w:val="151A21"/>
          <w:sz w:val="20"/>
        </w:rPr>
        <w:t xml:space="preserve">Dietrich Bonhoeffer (1906–1945). </w:t>
      </w:r>
      <w:r>
        <w:rPr>
          <w:rFonts w:ascii="Calibri" w:hAnsi="Calibri" w:cs="Calibri"/>
          <w:b w:val="0"/>
          <w:i w:val="0"/>
          <w:color w:val="151A21"/>
          <w:sz w:val="20"/>
        </w:rPr>
        <w:t>Theologe, Bekennende Kirche, Kontakt zur Widerstandsgruppe um das Attentat vom 20. Juli. 1943 verhaftet, am 9. April 1945 im KZ Flossenbürg hingerichtet — keine zwei Autostunden von hier.</w:t>
      </w:r>
    </w:p>
    <w:p>
      <w:pPr>
        <w:spacing w:before="0" w:after="100" w:line="252" w:lineRule="auto"/>
        <w:ind w:left="425" w:hanging="425"/>
      </w:pPr>
      <w:r>
        <w:rPr>
          <w:rFonts w:ascii="Calibri" w:hAnsi="Calibri" w:cs="Calibri"/>
          <w:b/>
          <w:i w:val="0"/>
          <w:color w:val="1E3A5F"/>
          <w:sz w:val="20"/>
        </w:rPr>
        <w:t xml:space="preserve">2  </w:t>
      </w:r>
      <w:r>
        <w:rPr>
          <w:rFonts w:ascii="Calibri" w:hAnsi="Calibri" w:cs="Calibri"/>
          <w:b/>
          <w:i w:val="0"/>
          <w:color w:val="151A21"/>
          <w:sz w:val="20"/>
        </w:rPr>
        <w:t xml:space="preserve">Martin Niemöller (1892–1984) und Paul Schneider (1897–1939). </w:t>
      </w:r>
      <w:r>
        <w:rPr>
          <w:rFonts w:ascii="Calibri" w:hAnsi="Calibri" w:cs="Calibri"/>
          <w:b w:val="0"/>
          <w:i w:val="0"/>
          <w:color w:val="151A21"/>
          <w:sz w:val="20"/>
        </w:rPr>
        <w:t>Niemöller war zuerst deutschnational, gründete dann den Pfarrernotbund gegen den Arierparagraphen und saß ab 1937 in Sachsenhausen und Dachau. Schneider, der „Prediger von Buchenwald“, verweigerte den Hitlergruß und predigte im KZ aus dem Fenster seiner Arrestzelle, bis er 1939 zu Tode gequält wurde.</w:t>
      </w:r>
    </w:p>
    <w:p>
      <w:pPr>
        <w:spacing w:before="0" w:after="100" w:line="252" w:lineRule="auto"/>
        <w:ind w:left="425" w:hanging="425"/>
      </w:pPr>
      <w:r>
        <w:rPr>
          <w:rFonts w:ascii="Calibri" w:hAnsi="Calibri" w:cs="Calibri"/>
          <w:b/>
          <w:i w:val="0"/>
          <w:color w:val="1E3A5F"/>
          <w:sz w:val="20"/>
        </w:rPr>
        <w:t xml:space="preserve">3  </w:t>
      </w:r>
      <w:r>
        <w:rPr>
          <w:rFonts w:ascii="Calibri" w:hAnsi="Calibri" w:cs="Calibri"/>
          <w:b/>
          <w:i w:val="0"/>
          <w:color w:val="151A21"/>
          <w:sz w:val="20"/>
        </w:rPr>
        <w:t xml:space="preserve">Elisabeth Schmitz (1893–1977) und Hans Meiser (1881–1956). </w:t>
      </w:r>
      <w:r>
        <w:rPr>
          <w:rFonts w:ascii="Calibri" w:hAnsi="Calibri" w:cs="Calibri"/>
          <w:b w:val="0"/>
          <w:i w:val="0"/>
          <w:color w:val="151A21"/>
          <w:sz w:val="20"/>
        </w:rPr>
        <w:t>Schmitz schrieb 1935 die Denkschrift „Zur Lage der deutschen Nichtarier“ — eine der schärfsten kirchlichen Anklagen gegen die Judenverfolgung — und wurde jahrzehntelang vergessen. Meiser schützte seine Landeskirche und schwieg zur Judenverfolgung.</w:t>
      </w:r>
    </w:p>
    <w:p>
      <w:pPr>
        <w:spacing w:before="0" w:after="100" w:line="252" w:lineRule="auto"/>
        <w:ind w:left="425" w:hanging="425"/>
      </w:pPr>
      <w:r>
        <w:rPr>
          <w:rFonts w:ascii="Calibri" w:hAnsi="Calibri" w:cs="Calibri"/>
          <w:b/>
          <w:i w:val="0"/>
          <w:color w:val="1E3A5F"/>
          <w:sz w:val="20"/>
        </w:rPr>
        <w:t xml:space="preserve">4  </w:t>
      </w:r>
      <w:r>
        <w:rPr>
          <w:rFonts w:ascii="Calibri" w:hAnsi="Calibri" w:cs="Calibri"/>
          <w:b/>
          <w:i w:val="0"/>
          <w:color w:val="151A21"/>
          <w:sz w:val="20"/>
        </w:rPr>
        <w:t xml:space="preserve">Das Ergebnis, das wir aufgehoben haben. </w:t>
      </w:r>
      <w:r>
        <w:rPr>
          <w:rFonts w:ascii="Calibri" w:hAnsi="Calibri" w:cs="Calibri"/>
          <w:b w:val="0"/>
          <w:i w:val="0"/>
          <w:color w:val="151A21"/>
          <w:sz w:val="20"/>
        </w:rPr>
        <w:t>In Vierergruppen haben wir gesammelt, was Widerspruch wahrscheinlicher macht. Oft genannt: früh anfangen, nicht allein sein, eine Überzeugung haben, die nicht vom Erfolg abhängt, gut informiert sein, schon einmal geübt haben, Nein zu sagen. Diese Liste kommt in der letzten Doppelstunde zurück.</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E2CF"/>
          </w:tcPr>
          <w:p>
            <w:pPr>
              <w:spacing w:before="120" w:after="40" w:line="252" w:lineRule="auto"/>
            </w:pPr>
            <w:r>
              <w:rPr>
                <w:rFonts w:ascii="Calibri" w:hAnsi="Calibri" w:cs="Calibri"/>
                <w:b/>
                <w:i w:val="0"/>
                <w:caps/>
                <w:color w:val="6A5936"/>
                <w:sz w:val="18"/>
              </w:rPr>
              <w:t>Der eine Satz</w:t>
            </w:r>
          </w:p>
          <w:p>
            <w:pPr>
              <w:spacing w:before="0" w:after="140" w:line="252" w:lineRule="auto"/>
            </w:pPr>
            <w:r>
              <w:rPr>
                <w:rFonts w:ascii="Cambria" w:hAnsi="Cambria" w:cs="Cambria"/>
                <w:b w:val="0"/>
                <w:i/>
                <w:color w:val="151A21"/>
                <w:sz w:val="24"/>
              </w:rPr>
              <w:t>Menschen sind nicht von Anfang an Helden oder Feiglinge. Sie werden es — Entscheidung für Entscheidung.</w:t>
            </w:r>
          </w:p>
        </w:tc>
      </w:tr>
    </w:tbl>
    <w:p>
      <w:pPr>
        <w:spacing w:before="240" w:after="60" w:line="252" w:lineRule="auto"/>
      </w:pPr>
      <w:r>
        <w:rPr>
          <w:rFonts w:ascii="Cambria" w:hAnsi="Cambria" w:cs="Cambria"/>
          <w:b/>
          <w:i w:val="0"/>
          <w:color w:val="1E3A5F"/>
          <w:sz w:val="25"/>
        </w:rPr>
        <w:t>So geht es weiter</w:t>
      </w:r>
    </w:p>
    <w:p>
      <w:pPr>
        <w:spacing w:before="0" w:after="160" w:line="252" w:lineRule="auto"/>
      </w:pPr>
      <w:r>
        <w:rPr>
          <w:rFonts w:ascii="Calibri" w:hAnsi="Calibri" w:cs="Calibri"/>
          <w:b w:val="0"/>
          <w:i w:val="0"/>
          <w:color w:val="151A21"/>
          <w:sz w:val="20"/>
        </w:rPr>
        <w:t>Nächste Stunde springen wir vierzig Jahre weiter: gleiches Land, andere Diktatur, DDR. Bring dein Handy mit, wir bauen eine Ausstellung.</w:t>
      </w:r>
    </w:p>
    <w:p>
      <w:pPr>
        <w:spacing w:before="120" w:after="60" w:line="252" w:lineRule="auto"/>
      </w:pPr>
      <w:r>
        <w:rPr>
          <w:rFonts w:ascii="Cambria" w:hAnsi="Cambria" w:cs="Cambria"/>
          <w:b/>
          <w:i w:val="0"/>
          <w:color w:val="265F53"/>
          <w:sz w:val="25"/>
        </w:rPr>
        <w:t>Freiwillig — wenn dir langweilig ist</w:t>
      </w:r>
    </w:p>
    <w:p>
      <w:pPr>
        <w:spacing w:before="0" w:after="60" w:line="252" w:lineRule="auto"/>
        <w:ind w:left="227"/>
      </w:pPr>
      <w:r>
        <w:rPr>
          <w:rFonts w:ascii="Calibri" w:hAnsi="Calibri" w:cs="Calibri"/>
          <w:b/>
          <w:i w:val="0"/>
          <w:color w:val="265F53"/>
          <w:sz w:val="20"/>
        </w:rPr>
        <w:t xml:space="preserve">Nachlesen · 5 Minuten  </w:t>
      </w:r>
      <w:r>
        <w:rPr>
          <w:rFonts w:ascii="Calibri" w:hAnsi="Calibri" w:cs="Calibri"/>
          <w:b w:val="0"/>
          <w:i w:val="0"/>
          <w:color w:val="151A21"/>
          <w:sz w:val="20"/>
        </w:rPr>
        <w:t>Die Kurzbiografie Dietrich Bonhoeffers beim Lebendigen Museum Online des Deutschen Historischen Museums.</w:t>
      </w:r>
    </w:p>
    <w:p>
      <w:pPr>
        <w:spacing w:before="0" w:after="120" w:line="252" w:lineRule="auto"/>
        <w:ind w:left="227"/>
      </w:pPr>
      <w:hyperlink r:id="rId9">
        <w:r>
          <w:rPr>
            <w:u w:val="single"/>
            <w:color w:val="1E3A5F"/>
            <w:rFonts w:ascii="Calibri" w:hAnsi="Calibri" w:cs="Calibri"/>
            <w:sz w:val="19"/>
          </w:rPr>
          <w:t>https://www.dhm.de/lemo/biografie/dietrich-bonhoeffer</w:t>
        </w:r>
      </w:hyperlink>
    </w:p>
    <w:p>
      <w:pPr>
        <w:spacing w:before="0" w:after="60" w:line="252" w:lineRule="auto"/>
        <w:ind w:left="227"/>
      </w:pPr>
      <w:r>
        <w:rPr>
          <w:rFonts w:ascii="Calibri" w:hAnsi="Calibri" w:cs="Calibri"/>
          <w:b/>
          <w:i w:val="0"/>
          <w:color w:val="265F53"/>
          <w:sz w:val="20"/>
        </w:rPr>
        <w:t xml:space="preserve">Zum Nachdenken · 2 Minuten  </w:t>
      </w:r>
      <w:r>
        <w:rPr>
          <w:rFonts w:ascii="Calibri" w:hAnsi="Calibri" w:cs="Calibri"/>
          <w:b w:val="0"/>
          <w:i w:val="0"/>
          <w:color w:val="151A21"/>
          <w:sz w:val="20"/>
        </w:rPr>
        <w:t>Such den Text „Als die Nazis die Kommunisten holten …“ von Martin Niemöller und lies ihn einmal laut. Und dann schreib dir einen Satz auf, den du niemandem zeigen musst: Wobei würde ich heute wegschauen?</w:t>
      </w:r>
    </w:p>
    <w:p>
      <w:pPr>
        <w:spacing w:before="240" w:after="0" w:line="252" w:lineRule="auto"/>
        <w:jc w:val="left"/>
      </w:pPr>
      <w:r>
        <w:rPr>
          <w:rFonts w:ascii="Calibri" w:hAnsi="Calibri" w:cs="Calibri"/>
          <w:b w:val="0"/>
          <w:i/>
          <w:color w:val="5A636E"/>
          <w:sz w:val="19"/>
        </w:rPr>
        <w:t>Wenn etwas unklar ist: Frag mich — vor der Stunde, in der Stunde oder per Nachricht. Das ist keine Hausaufgabe und wird nicht eingesammelt. Du sollst nur nicht das Gefühl haben, dass du etwas verpasst hast.</w:t>
      </w:r>
    </w:p>
    <w:sectPr w:rsidR="00FC693F" w:rsidRPr="0006063C" w:rsidSect="00034616">
      <w:pgSz w:w="12240" w:h="15840"/>
      <w:pgMar w:top="107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hm.de/lemo/biografie/dietrich-bonhoe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