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Calibri" w:hAnsi="Calibri" w:cs="Calibri"/>
          <w:b/>
          <w:i w:val="0"/>
          <w:caps/>
          <w:color w:val="5A636E"/>
          <w:sz w:val="17"/>
        </w:rPr>
        <w:t>Kirche und Staat  ·  Doppelstunde 6  ·  Wenn du krank warst</w:t>
      </w:r>
    </w:p>
    <w:p>
      <w:pPr>
        <w:spacing w:before="0" w:after="0" w:line="252" w:lineRule="auto"/>
      </w:pPr>
      <w:r>
        <w:rPr>
          <w:rFonts w:ascii="Cambria" w:hAnsi="Cambria" w:cs="Cambria"/>
          <w:b/>
          <w:i w:val="0"/>
          <w:color w:val="1E3A5F"/>
          <w:sz w:val="42"/>
        </w:rPr>
        <w:t>Barmen 2026?</w:t>
      </w:r>
    </w:p>
    <w:p>
      <w:pPr>
        <w:spacing w:before="0" w:after="200" w:line="252" w:lineRule="auto"/>
      </w:pPr>
      <w:r>
        <w:rPr>
          <w:rFonts w:ascii="Cambria" w:hAnsi="Cambria" w:cs="Cambria"/>
          <w:b w:val="0"/>
          <w:i/>
          <w:color w:val="5A636E"/>
          <w:sz w:val="23"/>
        </w:rPr>
        <w:t>Wo verläuft heute die Grenze?</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BF2EF"/>
          </w:tcPr>
          <w:p>
            <w:pPr>
              <w:spacing w:before="120" w:after="60" w:line="252" w:lineRule="auto"/>
            </w:pPr>
            <w:r>
              <w:rPr>
                <w:rFonts w:ascii="Calibri" w:hAnsi="Calibri" w:cs="Calibri"/>
                <w:b/>
                <w:i w:val="0"/>
                <w:caps/>
                <w:color w:val="1E3A5F"/>
                <w:sz w:val="19"/>
              </w:rPr>
              <w:t>Fünf Minuten lesen — mehr ist das nicht.</w:t>
            </w:r>
          </w:p>
          <w:p>
            <w:pPr>
              <w:spacing w:before="0" w:after="140" w:line="252" w:lineRule="auto"/>
            </w:pPr>
            <w:r>
              <w:rPr>
                <w:rFonts w:ascii="Calibri" w:hAnsi="Calibri" w:cs="Calibri"/>
                <w:b w:val="0"/>
                <w:i w:val="0"/>
                <w:color w:val="151A21"/>
                <w:sz w:val="20"/>
              </w:rPr>
              <w:t>Die letzte Doppelstunde bringt die Geschichte in die Gegenwart. Wir haben gelesen, was die Kirchen heute zum völkischen Nationalismus sagen, und ebenso ernst genommen, was Christen dagegen einwenden, die finden, die Kirche solle sich aus der Politik heraushalten. Danach hat jede Gruppe eine eigene These in der Barmer Sprachform geschrieben und an die Klassenzimmertür gehängt. Damit es kein Missverständnis gibt: Wir bewerten keine Parteien und geben keine Wahlempfehlung. Wir schauen an, was die Kirchen sagen, warum sie es sagen — und ob sie es sagen dürfen.</w:t>
            </w:r>
          </w:p>
        </w:tc>
      </w:tr>
    </w:tbl>
    <w:p>
      <w:pPr>
        <w:spacing w:before="240" w:after="80" w:line="252" w:lineRule="auto"/>
      </w:pPr>
      <w:r>
        <w:rPr>
          <w:rFonts w:ascii="Cambria" w:hAnsi="Cambria" w:cs="Cambria"/>
          <w:b/>
          <w:i w:val="0"/>
          <w:color w:val="1E3A5F"/>
          <w:sz w:val="25"/>
        </w:rPr>
        <w:t>Das musst du wissen</w:t>
      </w:r>
    </w:p>
    <w:p>
      <w:pPr>
        <w:spacing w:before="0" w:after="100" w:line="252" w:lineRule="auto"/>
        <w:ind w:left="425" w:hanging="425"/>
      </w:pPr>
      <w:r>
        <w:rPr>
          <w:rFonts w:ascii="Calibri" w:hAnsi="Calibri" w:cs="Calibri"/>
          <w:b/>
          <w:i w:val="0"/>
          <w:color w:val="1E3A5F"/>
          <w:sz w:val="20"/>
        </w:rPr>
        <w:t xml:space="preserve">1  </w:t>
      </w:r>
      <w:r>
        <w:rPr>
          <w:rFonts w:ascii="Calibri" w:hAnsi="Calibri" w:cs="Calibri"/>
          <w:b/>
          <w:i w:val="0"/>
          <w:color w:val="151A21"/>
          <w:sz w:val="20"/>
        </w:rPr>
        <w:t xml:space="preserve">Was die Kirchen sagen. </w:t>
      </w:r>
      <w:r>
        <w:rPr>
          <w:rFonts w:ascii="Calibri" w:hAnsi="Calibri" w:cs="Calibri"/>
          <w:b w:val="0"/>
          <w:i w:val="0"/>
          <w:color w:val="151A21"/>
          <w:sz w:val="20"/>
        </w:rPr>
        <w:t>Die EKD-Synode 2023 und die deutschen Bischöfe 2024 haben erklärt, völkischer Nationalismus und Christentum seien unvereinbar. Begründung ist kein Parteiprogramm, sondern das Menschenbild: Jeder Mensch ist Gottes Ebenbild, nicht Mitglied eines Volkes erster oder zweiter Klasse.</w:t>
      </w:r>
    </w:p>
    <w:p>
      <w:pPr>
        <w:spacing w:before="0" w:after="100" w:line="252" w:lineRule="auto"/>
        <w:ind w:left="425" w:hanging="425"/>
      </w:pPr>
      <w:r>
        <w:rPr>
          <w:rFonts w:ascii="Calibri" w:hAnsi="Calibri" w:cs="Calibri"/>
          <w:b/>
          <w:i w:val="0"/>
          <w:color w:val="1E3A5F"/>
          <w:sz w:val="20"/>
        </w:rPr>
        <w:t xml:space="preserve">2  </w:t>
      </w:r>
      <w:r>
        <w:rPr>
          <w:rFonts w:ascii="Calibri" w:hAnsi="Calibri" w:cs="Calibri"/>
          <w:b/>
          <w:i w:val="0"/>
          <w:color w:val="151A21"/>
          <w:sz w:val="20"/>
        </w:rPr>
        <w:t xml:space="preserve">Was dagegen eingewendet wird. </w:t>
      </w:r>
      <w:r>
        <w:rPr>
          <w:rFonts w:ascii="Calibri" w:hAnsi="Calibri" w:cs="Calibri"/>
          <w:b w:val="0"/>
          <w:i w:val="0"/>
          <w:color w:val="151A21"/>
          <w:sz w:val="20"/>
        </w:rPr>
        <w:t>Die Kirche sei zu politischer Neutralität verpflichtet; in ihren Gemeinden sitzen Menschen aller Parteien; wer sie ausschließt, verliert sie. Dieses Argument haben wir in seiner stärksten Form behandelt, nicht als Strohmann.</w:t>
      </w:r>
    </w:p>
    <w:p>
      <w:pPr>
        <w:spacing w:before="0" w:after="100" w:line="252" w:lineRule="auto"/>
        <w:ind w:left="425" w:hanging="425"/>
      </w:pPr>
      <w:r>
        <w:rPr>
          <w:rFonts w:ascii="Calibri" w:hAnsi="Calibri" w:cs="Calibri"/>
          <w:b/>
          <w:i w:val="0"/>
          <w:color w:val="1E3A5F"/>
          <w:sz w:val="20"/>
        </w:rPr>
        <w:t xml:space="preserve">3  </w:t>
      </w:r>
      <w:r>
        <w:rPr>
          <w:rFonts w:ascii="Calibri" w:hAnsi="Calibri" w:cs="Calibri"/>
          <w:b/>
          <w:i w:val="0"/>
          <w:color w:val="151A21"/>
          <w:sz w:val="20"/>
        </w:rPr>
        <w:t xml:space="preserve">Die Barmer Sprachform, jetzt selbst benutzt. </w:t>
      </w:r>
      <w:r>
        <w:rPr>
          <w:rFonts w:ascii="Calibri" w:hAnsi="Calibri" w:cs="Calibri"/>
          <w:b w:val="0"/>
          <w:i w:val="0"/>
          <w:color w:val="151A21"/>
          <w:sz w:val="20"/>
        </w:rPr>
        <w:t>Erst der positive Teil: „Weil …, gilt für uns: …“. Dann die Verwerfung: „Wir verwerfen die falsche Lehre, als ob …“. Jede These musste sich an einer Bibelstelle festmachen lassen — sonst ist es nur Meinung.</w:t>
      </w:r>
    </w:p>
    <w:p>
      <w:pPr>
        <w:spacing w:before="0" w:after="100" w:line="252" w:lineRule="auto"/>
        <w:ind w:left="425" w:hanging="425"/>
      </w:pPr>
      <w:r>
        <w:rPr>
          <w:rFonts w:ascii="Calibri" w:hAnsi="Calibri" w:cs="Calibri"/>
          <w:b/>
          <w:i w:val="0"/>
          <w:color w:val="1E3A5F"/>
          <w:sz w:val="20"/>
        </w:rPr>
        <w:t xml:space="preserve">4  </w:t>
      </w:r>
      <w:r>
        <w:rPr>
          <w:rFonts w:ascii="Calibri" w:hAnsi="Calibri" w:cs="Calibri"/>
          <w:b/>
          <w:i w:val="0"/>
          <w:color w:val="151A21"/>
          <w:sz w:val="20"/>
        </w:rPr>
        <w:t xml:space="preserve">Die Härteprüfung, an der sich alles entscheidet. </w:t>
      </w:r>
      <w:r>
        <w:rPr>
          <w:rFonts w:ascii="Calibri" w:hAnsi="Calibri" w:cs="Calibri"/>
          <w:b w:val="0"/>
          <w:i w:val="0"/>
          <w:color w:val="151A21"/>
          <w:sz w:val="20"/>
        </w:rPr>
        <w:t>Zwei Fragen musste jede These bestehen. Erstens: Richtet sie sich gegen einen Satz und nicht gegen Menschen? Zweitens: Würde sie auch dann noch gelten, wenn morgen eine ganz andere Partei regiert? Wenn nein, wurde überarbeitet. Genau das unterscheidet eine Bekenntnisthese von einem Wahlplakat.</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8E2CF"/>
          </w:tcPr>
          <w:p>
            <w:pPr>
              <w:spacing w:before="120" w:after="40" w:line="252" w:lineRule="auto"/>
            </w:pPr>
            <w:r>
              <w:rPr>
                <w:rFonts w:ascii="Calibri" w:hAnsi="Calibri" w:cs="Calibri"/>
                <w:b/>
                <w:i w:val="0"/>
                <w:caps/>
                <w:color w:val="6A5936"/>
                <w:sz w:val="18"/>
              </w:rPr>
              <w:t>Der eine Satz</w:t>
            </w:r>
          </w:p>
          <w:p>
            <w:pPr>
              <w:spacing w:before="0" w:after="140" w:line="252" w:lineRule="auto"/>
            </w:pPr>
            <w:r>
              <w:rPr>
                <w:rFonts w:ascii="Cambria" w:hAnsi="Cambria" w:cs="Cambria"/>
                <w:b w:val="0"/>
                <w:i/>
                <w:color w:val="151A21"/>
                <w:sz w:val="24"/>
              </w:rPr>
              <w:t>1933 war „Die Kirche soll sich raushalten“ die Mehrheitsmeinung. 1934 hat eine Minderheit gesagt: Es gibt eine Grenze. Wo sie verläuft, musst du selbst beantworten — aber du musst es begründen können.</w:t>
            </w:r>
          </w:p>
        </w:tc>
      </w:tr>
    </w:tbl>
    <w:p>
      <w:pPr>
        <w:spacing w:before="240" w:after="60" w:line="252" w:lineRule="auto"/>
      </w:pPr>
      <w:r>
        <w:rPr>
          <w:rFonts w:ascii="Cambria" w:hAnsi="Cambria" w:cs="Cambria"/>
          <w:b/>
          <w:i w:val="0"/>
          <w:color w:val="1E3A5F"/>
          <w:sz w:val="25"/>
        </w:rPr>
        <w:t>So geht es weiter</w:t>
      </w:r>
    </w:p>
    <w:p>
      <w:pPr>
        <w:spacing w:before="0" w:after="160" w:line="252" w:lineRule="auto"/>
      </w:pPr>
      <w:r>
        <w:rPr>
          <w:rFonts w:ascii="Calibri" w:hAnsi="Calibri" w:cs="Calibri"/>
          <w:b w:val="0"/>
          <w:i w:val="0"/>
          <w:color w:val="151A21"/>
          <w:sz w:val="20"/>
        </w:rPr>
        <w:t>Damit ist die Einheit zu Ende. Wenn du magst, schreib deine eigene These nach dem Muster oben und bring sie mit — sie kommt dann noch an die Tür. Und wenn du eine Frage hast, die du in der Klasse nicht stellen wolltest: Frag mich einfach direkt.</w:t>
      </w:r>
    </w:p>
    <w:p>
      <w:pPr>
        <w:spacing w:before="120" w:after="60" w:line="252" w:lineRule="auto"/>
      </w:pPr>
      <w:r>
        <w:rPr>
          <w:rFonts w:ascii="Cambria" w:hAnsi="Cambria" w:cs="Cambria"/>
          <w:b/>
          <w:i w:val="0"/>
          <w:color w:val="265F53"/>
          <w:sz w:val="25"/>
        </w:rPr>
        <w:t>Freiwillig — wenn dir langweilig ist</w:t>
      </w:r>
    </w:p>
    <w:p>
      <w:pPr>
        <w:spacing w:before="0" w:after="60" w:line="252" w:lineRule="auto"/>
        <w:ind w:left="227"/>
      </w:pPr>
      <w:r>
        <w:rPr>
          <w:rFonts w:ascii="Calibri" w:hAnsi="Calibri" w:cs="Calibri"/>
          <w:b/>
          <w:i w:val="0"/>
          <w:color w:val="265F53"/>
          <w:sz w:val="20"/>
        </w:rPr>
        <w:t xml:space="preserve">Nachlesen · 5 Minuten  </w:t>
      </w:r>
      <w:r>
        <w:rPr>
          <w:rFonts w:ascii="Calibri" w:hAnsi="Calibri" w:cs="Calibri"/>
          <w:b w:val="0"/>
          <w:i w:val="0"/>
          <w:color w:val="151A21"/>
          <w:sz w:val="20"/>
        </w:rPr>
        <w:t>Die Themenseite der EKD „Kirche gegen Rassismus, Rechtspopulismus und Rechtsextremismus“ — die Originalquelle, nicht eine Zusammenfassung.</w:t>
      </w:r>
    </w:p>
    <w:p>
      <w:pPr>
        <w:spacing w:before="0" w:after="120" w:line="252" w:lineRule="auto"/>
        <w:ind w:left="227"/>
      </w:pPr>
      <w:hyperlink r:id="rId9">
        <w:r>
          <w:rPr>
            <w:u w:val="single"/>
            <w:color w:val="1E3A5F"/>
            <w:rFonts w:ascii="Calibri" w:hAnsi="Calibri" w:cs="Calibri"/>
            <w:sz w:val="19"/>
          </w:rPr>
          <w:t>https://www.ekd.de/kirche-gegen-rechtspopulismus-und-rechtsextremismus-49866.htm</w:t>
        </w:r>
      </w:hyperlink>
    </w:p>
    <w:p>
      <w:pPr>
        <w:spacing w:before="0" w:after="60" w:line="252" w:lineRule="auto"/>
        <w:ind w:left="227"/>
      </w:pPr>
      <w:r>
        <w:rPr>
          <w:rFonts w:ascii="Calibri" w:hAnsi="Calibri" w:cs="Calibri"/>
          <w:b/>
          <w:i w:val="0"/>
          <w:color w:val="265F53"/>
          <w:sz w:val="20"/>
        </w:rPr>
        <w:t xml:space="preserve">Rechercheauftrag · 10 Minuten  </w:t>
      </w:r>
      <w:r>
        <w:rPr>
          <w:rFonts w:ascii="Calibri" w:hAnsi="Calibri" w:cs="Calibri"/>
          <w:b w:val="0"/>
          <w:i w:val="0"/>
          <w:color w:val="151A21"/>
          <w:sz w:val="20"/>
        </w:rPr>
        <w:t>Such eine Gruppe oder Initiative bei dir vor Ort — Gemeinde, Verein, Schule —, bei der man sich für eines der sechs Themen der Stunde einsetzen kann. Notier den Namen und was man dort konkret tun kann.</w:t>
      </w:r>
    </w:p>
    <w:p>
      <w:pPr>
        <w:spacing w:before="240" w:after="0" w:line="252" w:lineRule="auto"/>
        <w:jc w:val="left"/>
      </w:pPr>
      <w:r>
        <w:rPr>
          <w:rFonts w:ascii="Calibri" w:hAnsi="Calibri" w:cs="Calibri"/>
          <w:b w:val="0"/>
          <w:i/>
          <w:color w:val="5A636E"/>
          <w:sz w:val="19"/>
        </w:rPr>
        <w:t>Wenn etwas unklar ist: Frag mich — vor der Stunde, in der Stunde oder per Nachricht. Das ist keine Hausaufgabe und wird nicht eingesammelt. Du sollst nur nicht das Gefühl haben, dass du etwas verpasst hast.</w:t>
      </w:r>
    </w:p>
    <w:sectPr w:rsidR="00FC693F" w:rsidRPr="0006063C" w:rsidSect="00034616">
      <w:pgSz w:w="12240" w:h="15840"/>
      <w:pgMar w:top="1077"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kd.de/kirche-gegen-rechtspopulismus-und-rechtsextremismus-4986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