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1E3A5F"/>
          <w:sz w:val="18"/>
        </w:rPr>
        <w:t>KOPIERVORLAGEN · DOPPELSTUNDE 3 VON 6 · EV. RELIGIONSLEHRE · GYMNASIUM BAYERN · JGST. 9</w:t>
      </w:r>
    </w:p>
    <w:p>
      <w:pPr>
        <w:pStyle w:val="Title"/>
      </w:pPr>
      <w:r>
        <w:rPr>
          <w:b w:val="0"/>
          <w:i w:val="0"/>
        </w:rPr>
        <w:t>Barmen gegen Ansbach</w:t>
      </w:r>
    </w:p>
    <w:p>
      <w:pPr>
        <w:spacing w:after="200"/>
      </w:pPr>
      <w:r>
        <w:rPr>
          <w:b w:val="0"/>
          <w:i w:val="0"/>
          <w:color w:val="4B5563"/>
          <w:sz w:val="22"/>
        </w:rPr>
        <w:t>Fünf Rollenkarten für die Talkrunde vom Juni 1934, der Moderations- und der Beobachtungsbogen, die Barmer Thesen 1 und 5 im Wortlaut mit dem Übersetzungsauftrag — und das Dossier zu Landesbischof Meiser, an dem sich zeigt, wie unbequem historische Urteile werden können.</w:t>
      </w:r>
    </w:p>
    <w:p>
      <w:r>
        <w:br w:type="page"/>
      </w:r>
    </w:p>
    <w:p>
      <w:pPr>
        <w:spacing w:before="80" w:after="160"/>
        <w:shd w:val="clear" w:color="auto" w:fill="F6E7E5"/>
        <w:pBdr>
          <w:top w:val="single" w:sz="8" w:space="6" w:color="8C2A24"/>
          <w:bottom w:val="single" w:sz="8" w:space="6" w:color="8C2A24"/>
          <w:left w:val="single" w:sz="8" w:space="6" w:color="8C2A24"/>
          <w:right w:val="single" w:sz="8" w:space="6" w:color="8C2A24"/>
        </w:pBdr>
        <w:keepNext/>
      </w:pPr>
      <w:r>
        <w:rPr>
          <w:rFonts w:ascii="Consolas" w:hAnsi="Consolas"/>
          <w:b/>
          <w:color w:val="8C2A24"/>
          <w:sz w:val="20"/>
        </w:rPr>
        <w:t>FÜR DIE LEHRKRAFT · NICHT KOPIEREN</w:t>
      </w:r>
    </w:p>
    <w:p>
      <w:pPr>
        <w:pStyle w:val="Heading1"/>
        <w:spacing w:after="160" w:before="200"/>
        <w:keepNext/>
      </w:pPr>
      <w:r>
        <w:rPr>
          <w:b w:val="0"/>
          <w:i w:val="0"/>
        </w:rPr>
        <w:t>Verlauf und Regie der Talkrunde</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Was passiert</w:t>
            </w:r>
          </w:p>
        </w:tc>
        <w:tc>
          <w:tcPr>
            <w:tcW w:type="dxa" w:w="2409"/>
            <w:shd w:val="clear" w:color="auto" w:fill="E5ECF4"/>
            <w:vAlign w:val="top"/>
          </w:tcPr>
          <w:p>
            <w:pPr>
              <w:spacing w:after="40"/>
            </w:pPr>
            <w:r>
              <w:rPr>
                <w:b/>
                <w:i w:val="0"/>
                <w:color w:val="1E3A5F"/>
                <w:sz w:val="20"/>
              </w:rPr>
              <w:t>Material</w:t>
            </w:r>
          </w:p>
        </w:tc>
      </w:tr>
      <w:tr>
        <w:tc>
          <w:tcPr>
            <w:tcW w:type="dxa" w:w="2409"/>
            <w:vAlign w:val="top"/>
          </w:tcPr>
          <w:p>
            <w:pPr>
              <w:spacing w:after="40"/>
            </w:pPr>
            <w:r>
              <w:rPr>
                <w:b w:val="0"/>
                <w:i w:val="0"/>
                <w:sz w:val="20"/>
              </w:rPr>
              <w:t>0–8</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Zwei Zitate, nur „Text A“ und „Text B“ — Klasse tippt, welches von Gegnern des NS stammt</w:t>
            </w:r>
          </w:p>
        </w:tc>
        <w:tc>
          <w:tcPr>
            <w:tcW w:type="dxa" w:w="2409"/>
            <w:vAlign w:val="top"/>
          </w:tcPr>
          <w:p>
            <w:pPr>
              <w:spacing w:after="40"/>
            </w:pPr>
            <w:r>
              <w:rPr>
                <w:b w:val="0"/>
                <w:i w:val="0"/>
                <w:sz w:val="20"/>
              </w:rPr>
              <w:t>M10</w:t>
            </w:r>
          </w:p>
        </w:tc>
      </w:tr>
      <w:tr>
        <w:tc>
          <w:tcPr>
            <w:tcW w:type="dxa" w:w="2409"/>
            <w:vAlign w:val="top"/>
          </w:tcPr>
          <w:p>
            <w:pPr>
              <w:spacing w:after="40"/>
            </w:pPr>
            <w:r>
              <w:rPr>
                <w:b w:val="0"/>
                <w:i w:val="0"/>
                <w:sz w:val="20"/>
              </w:rPr>
              <w:t>8–28</w:t>
            </w:r>
          </w:p>
        </w:tc>
        <w:tc>
          <w:tcPr>
            <w:tcW w:type="dxa" w:w="2409"/>
            <w:vAlign w:val="top"/>
          </w:tcPr>
          <w:p>
            <w:pPr>
              <w:spacing w:after="40"/>
            </w:pPr>
            <w:r>
              <w:rPr>
                <w:b w:val="0"/>
                <w:i w:val="0"/>
                <w:sz w:val="20"/>
              </w:rPr>
              <w:t>Vorbereitung</w:t>
            </w:r>
          </w:p>
        </w:tc>
        <w:tc>
          <w:tcPr>
            <w:tcW w:type="dxa" w:w="2409"/>
            <w:vAlign w:val="top"/>
          </w:tcPr>
          <w:p>
            <w:pPr>
              <w:spacing w:after="40"/>
            </w:pPr>
            <w:r>
              <w:rPr>
                <w:b w:val="0"/>
                <w:i w:val="0"/>
                <w:sz w:val="20"/>
              </w:rPr>
              <w:t>Fünf Rollenteams schärfen Argumente, bestimmen Sprecher und Zettelschreiber</w:t>
            </w:r>
          </w:p>
        </w:tc>
        <w:tc>
          <w:tcPr>
            <w:tcW w:type="dxa" w:w="2409"/>
            <w:vAlign w:val="top"/>
          </w:tcPr>
          <w:p>
            <w:pPr>
              <w:spacing w:after="40"/>
            </w:pPr>
            <w:r>
              <w:rPr>
                <w:b w:val="0"/>
                <w:i w:val="0"/>
                <w:sz w:val="20"/>
              </w:rPr>
              <w:t>M11a–e</w:t>
            </w:r>
          </w:p>
        </w:tc>
      </w:tr>
      <w:tr>
        <w:tc>
          <w:tcPr>
            <w:tcW w:type="dxa" w:w="2409"/>
            <w:vAlign w:val="top"/>
          </w:tcPr>
          <w:p>
            <w:pPr>
              <w:spacing w:after="40"/>
            </w:pPr>
            <w:r>
              <w:rPr>
                <w:b w:val="0"/>
                <w:i w:val="0"/>
                <w:sz w:val="20"/>
              </w:rPr>
              <w:t>28–52</w:t>
            </w:r>
          </w:p>
        </w:tc>
        <w:tc>
          <w:tcPr>
            <w:tcW w:type="dxa" w:w="2409"/>
            <w:vAlign w:val="top"/>
          </w:tcPr>
          <w:p>
            <w:pPr>
              <w:spacing w:after="40"/>
            </w:pPr>
            <w:r>
              <w:rPr>
                <w:b w:val="0"/>
                <w:i w:val="0"/>
                <w:sz w:val="20"/>
              </w:rPr>
              <w:t>Talkrunde</w:t>
            </w:r>
          </w:p>
        </w:tc>
        <w:tc>
          <w:tcPr>
            <w:tcW w:type="dxa" w:w="2409"/>
            <w:vAlign w:val="top"/>
          </w:tcPr>
          <w:p>
            <w:pPr>
              <w:spacing w:after="40"/>
            </w:pPr>
            <w:r>
              <w:rPr>
                <w:b w:val="0"/>
                <w:i w:val="0"/>
                <w:sz w:val="20"/>
              </w:rPr>
              <w:t>Statements 60 s — freie Runde 10 min — Publikumsfrage — Schlusswort 30 s</w:t>
            </w:r>
          </w:p>
        </w:tc>
        <w:tc>
          <w:tcPr>
            <w:tcW w:type="dxa" w:w="2409"/>
            <w:vAlign w:val="top"/>
          </w:tcPr>
          <w:p>
            <w:pPr>
              <w:spacing w:after="40"/>
            </w:pPr>
            <w:r>
              <w:rPr>
                <w:b w:val="0"/>
                <w:i w:val="0"/>
                <w:sz w:val="20"/>
              </w:rPr>
              <w:t>M12</w:t>
            </w:r>
          </w:p>
        </w:tc>
      </w:tr>
      <w:tr>
        <w:tc>
          <w:tcPr>
            <w:tcW w:type="dxa" w:w="2409"/>
            <w:vAlign w:val="top"/>
          </w:tcPr>
          <w:p>
            <w:pPr>
              <w:spacing w:after="40"/>
            </w:pPr>
            <w:r>
              <w:rPr>
                <w:b w:val="0"/>
                <w:i w:val="0"/>
                <w:sz w:val="20"/>
              </w:rPr>
              <w:t>52–62</w:t>
            </w:r>
          </w:p>
        </w:tc>
        <w:tc>
          <w:tcPr>
            <w:tcW w:type="dxa" w:w="2409"/>
            <w:vAlign w:val="top"/>
          </w:tcPr>
          <w:p>
            <w:pPr>
              <w:spacing w:after="40"/>
            </w:pPr>
            <w:r>
              <w:rPr>
                <w:b w:val="0"/>
                <w:i w:val="0"/>
                <w:sz w:val="20"/>
              </w:rPr>
              <w:t>Auswertung</w:t>
            </w:r>
          </w:p>
        </w:tc>
        <w:tc>
          <w:tcPr>
            <w:tcW w:type="dxa" w:w="2409"/>
            <w:vAlign w:val="top"/>
          </w:tcPr>
          <w:p>
            <w:pPr>
              <w:spacing w:after="40"/>
            </w:pPr>
            <w:r>
              <w:rPr>
                <w:b w:val="0"/>
                <w:i w:val="0"/>
                <w:sz w:val="20"/>
              </w:rPr>
              <w:t>Rollen ablegen, erst Beobachter, dann Spielende, dann Plenum</w:t>
            </w:r>
          </w:p>
        </w:tc>
        <w:tc>
          <w:tcPr>
            <w:tcW w:type="dxa" w:w="2409"/>
            <w:vAlign w:val="top"/>
          </w:tcPr>
          <w:p>
            <w:pPr>
              <w:spacing w:after="40"/>
            </w:pPr>
            <w:r>
              <w:rPr>
                <w:b w:val="0"/>
                <w:i w:val="0"/>
                <w:sz w:val="20"/>
              </w:rPr>
              <w:t>Beobachtungsbogen</w:t>
            </w:r>
          </w:p>
        </w:tc>
      </w:tr>
      <w:tr>
        <w:tc>
          <w:tcPr>
            <w:tcW w:type="dxa" w:w="2409"/>
            <w:vAlign w:val="top"/>
          </w:tcPr>
          <w:p>
            <w:pPr>
              <w:spacing w:after="40"/>
            </w:pPr>
            <w:r>
              <w:rPr>
                <w:b w:val="0"/>
                <w:i w:val="0"/>
                <w:sz w:val="20"/>
              </w:rPr>
              <w:t>62–78</w:t>
            </w:r>
          </w:p>
        </w:tc>
        <w:tc>
          <w:tcPr>
            <w:tcW w:type="dxa" w:w="2409"/>
            <w:vAlign w:val="top"/>
          </w:tcPr>
          <w:p>
            <w:pPr>
              <w:spacing w:after="40"/>
            </w:pPr>
            <w:r>
              <w:rPr>
                <w:b w:val="0"/>
                <w:i w:val="0"/>
                <w:sz w:val="20"/>
              </w:rPr>
              <w:t>Sicherung</w:t>
            </w:r>
          </w:p>
        </w:tc>
        <w:tc>
          <w:tcPr>
            <w:tcW w:type="dxa" w:w="2409"/>
            <w:vAlign w:val="top"/>
          </w:tcPr>
          <w:p>
            <w:pPr>
              <w:spacing w:after="40"/>
            </w:pPr>
            <w:r>
              <w:rPr>
                <w:b w:val="0"/>
                <w:i w:val="0"/>
                <w:sz w:val="20"/>
              </w:rPr>
              <w:t>Barmen These 1 in eigene Sprache übersetzen, eigenen Verwerfungssatz schreiben</w:t>
            </w:r>
          </w:p>
        </w:tc>
        <w:tc>
          <w:tcPr>
            <w:tcW w:type="dxa" w:w="2409"/>
            <w:vAlign w:val="top"/>
          </w:tcPr>
          <w:p>
            <w:pPr>
              <w:spacing w:after="40"/>
            </w:pPr>
            <w:r>
              <w:rPr>
                <w:b w:val="0"/>
                <w:i w:val="0"/>
                <w:sz w:val="20"/>
              </w:rPr>
              <w:t>M13</w:t>
            </w:r>
          </w:p>
        </w:tc>
      </w:tr>
      <w:tr>
        <w:tc>
          <w:tcPr>
            <w:tcW w:type="dxa" w:w="2409"/>
            <w:vAlign w:val="top"/>
          </w:tcPr>
          <w:p>
            <w:pPr>
              <w:spacing w:after="40"/>
            </w:pPr>
            <w:r>
              <w:rPr>
                <w:b w:val="0"/>
                <w:i w:val="0"/>
                <w:sz w:val="20"/>
              </w:rPr>
              <w:t>78–90</w:t>
            </w:r>
          </w:p>
        </w:tc>
        <w:tc>
          <w:tcPr>
            <w:tcW w:type="dxa" w:w="2409"/>
            <w:vAlign w:val="top"/>
          </w:tcPr>
          <w:p>
            <w:pPr>
              <w:spacing w:after="40"/>
            </w:pPr>
            <w:r>
              <w:rPr>
                <w:b w:val="0"/>
                <w:i w:val="0"/>
                <w:sz w:val="20"/>
              </w:rPr>
              <w:t>Vertiefung</w:t>
            </w:r>
          </w:p>
        </w:tc>
        <w:tc>
          <w:tcPr>
            <w:tcW w:type="dxa" w:w="2409"/>
            <w:vAlign w:val="top"/>
          </w:tcPr>
          <w:p>
            <w:pPr>
              <w:spacing w:after="40"/>
            </w:pPr>
            <w:r>
              <w:rPr>
                <w:b w:val="0"/>
                <w:i w:val="0"/>
                <w:sz w:val="20"/>
              </w:rPr>
              <w:t>Der Fall Meiser: Straßenname behalten oder nicht?</w:t>
            </w:r>
          </w:p>
        </w:tc>
        <w:tc>
          <w:tcPr>
            <w:tcW w:type="dxa" w:w="2409"/>
            <w:vAlign w:val="top"/>
          </w:tcPr>
          <w:p>
            <w:pPr>
              <w:spacing w:after="40"/>
            </w:pPr>
            <w:r>
              <w:rPr>
                <w:b w:val="0"/>
                <w:i w:val="0"/>
                <w:sz w:val="20"/>
              </w:rPr>
              <w:t>M14</w:t>
            </w:r>
          </w:p>
        </w:tc>
      </w:tr>
    </w:tbl>
    <w:p>
      <w:pPr>
        <w:spacing w:before="40" w:after="160"/>
      </w:pPr>
    </w:p>
    <w:p>
      <w:pPr>
        <w:spacing w:before="160" w:after="160"/>
        <w:pBdr>
          <w:bottom w:val="single" w:sz="12" w:space="6" w:color="1E3A5F"/>
        </w:pBdr>
        <w:keepNext/>
      </w:pPr>
      <w:r>
        <w:rPr>
          <w:rFonts w:ascii="Consolas" w:hAnsi="Consolas"/>
          <w:b/>
          <w:color w:val="1E3A5F"/>
          <w:sz w:val="22"/>
        </w:rPr>
        <w:t>Regie</w:t>
      </w:r>
      <w:r>
        <w:rPr>
          <w:rFonts w:ascii="Consolas" w:hAnsi="Consolas"/>
          <w:color w:val="6B7280"/>
          <w:sz w:val="18"/>
        </w:rPr>
        <w:t xml:space="preserve">   Drei Dinge, an denen die Talkrunde hängt</w:t>
      </w:r>
    </w:p>
    <w:p>
      <w:pPr>
        <w:spacing w:after="120"/>
      </w:pPr>
      <w:r>
        <w:rPr>
          <w:b/>
          <w:i w:val="0"/>
        </w:rPr>
        <w:t>Rollenteams statt Einzelrollen.</w:t>
      </w:r>
      <w:r>
        <w:rPr>
          <w:b w:val="0"/>
          <w:i w:val="0"/>
        </w:rPr>
        <w:t xml:space="preserve"> Jedes Team bereitet gemeinsam vor, schickt aber nur eine Person in die Mitte. Der Rest sitzt dahinter und darf zweimal per Zettel „nachladen“. So arbeiten auch die mit, die nicht gern vorne sprechen — und die Sprecherin steht nicht allein da.</w:t>
      </w:r>
    </w:p>
    <w:p>
      <w:pPr>
        <w:spacing w:after="120"/>
      </w:pPr>
      <w:r>
        <w:rPr>
          <w:b/>
          <w:i w:val="0"/>
        </w:rPr>
        <w:t>Rollen sichtbar ablegen.</w:t>
      </w:r>
      <w:r>
        <w:rPr>
          <w:b w:val="0"/>
          <w:i w:val="0"/>
        </w:rPr>
        <w:t xml:space="preserve"> Nach der Runde alle aufstehen, ausschütteln, Platz wechseln lassen. Erst danach die Auswertung. Sonst haftet an einzelnen Schülerinnen und Schülern, was ihre Rolle gesagt hat — bei diesem Thema ist das keine Kleinigkeit.</w:t>
      </w:r>
    </w:p>
    <w:p>
      <w:pPr>
        <w:spacing w:after="120"/>
      </w:pPr>
      <w:r>
        <w:rPr>
          <w:b/>
          <w:i w:val="0"/>
        </w:rPr>
        <w:t>Die Rolle von Charlotte S. besetzen Sie bewusst.</w:t>
      </w:r>
      <w:r>
        <w:rPr>
          <w:b w:val="0"/>
          <w:i w:val="0"/>
        </w:rPr>
        <w:t xml:space="preserve"> Sie ist die einzige Betroffene in der Runde und wird von den anderen leicht überredet. Geben Sie diese Rolle jemandem, der sich behaupten kann, und greifen Sie als Moderation ein, wenn sie untergeht — das ist inhaltlich der Punkt: In der wirklichen Debatte von 1934 kamen die Betroffenen kaum vor.</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HISTORISCHE AUFLÖSUNG — ERST NACH DER AUSWERTUNG</w:t>
            </w:r>
          </w:p>
          <w:p>
            <w:pPr>
              <w:spacing w:after="80"/>
            </w:pPr>
            <w:r>
              <w:rPr>
                <w:b w:val="0"/>
                <w:i w:val="0"/>
              </w:rPr>
              <w:t>Die Barmer Theologische Erklärung wurde Ende Mai 1934 in Wuppertal-Barmen beschlossen und zur Grundlage der Bekennenden Kirche. Der Ansbacher Ratschlag erschien am 11. Juni 1934, unterzeichnet von acht Theologen, darunter die Erlanger Professoren Paul Althaus und Werner Elert. Er blieb Minderheitenposition — aber er zeigt, dass die theologische Rechtfertigung des Regimes von angesehenen Professoren kam, nicht von Randfiguren.</w:t>
            </w:r>
          </w:p>
        </w:tc>
      </w:tr>
    </w:tbl>
    <w:p>
      <w:pPr>
        <w:spacing w:after="120"/>
      </w:pPr>
    </w:p>
    <w:p>
      <w:r>
        <w:br w:type="page"/>
      </w:r>
    </w:p>
    <w:p>
      <w:pPr>
        <w:spacing w:after="40"/>
        <w:keepNext/>
      </w:pPr>
      <w:r>
        <w:rPr>
          <w:rFonts w:ascii="Consolas" w:hAnsi="Consolas"/>
          <w:b/>
          <w:color w:val="1E3A5F"/>
          <w:sz w:val="18"/>
        </w:rPr>
        <w:t>M10 · PROJEKTION</w:t>
      </w:r>
    </w:p>
    <w:p>
      <w:pPr>
        <w:pStyle w:val="Heading1"/>
        <w:spacing w:after="160" w:before="200"/>
        <w:keepNext/>
      </w:pPr>
      <w:r>
        <w:rPr>
          <w:b w:val="0"/>
          <w:i w:val="0"/>
        </w:rPr>
        <w:t>Zwei Zitate, keine Namen</w:t>
      </w:r>
    </w:p>
    <w:p>
      <w:pPr>
        <w:spacing w:after="120"/>
      </w:pPr>
      <w:r>
        <w:rPr>
          <w:b w:val="0"/>
          <w:i w:val="0"/>
        </w:rPr>
        <w:t>Beide Texte nebeneinander zeigen, nur mit „Text A“ und „Text B“ überschrieben. Die Klasse zeigt per Finger, welcher von Gegnern des Nationalsozialismus stammt. Die Auflösung — beide sind von evangelischen Theologen, beide von 1934, dreizehn Tage auseinander — ist der Einstieg.</w:t>
      </w:r>
    </w:p>
    <w:p>
      <w:pPr>
        <w:spacing w:after="120"/>
      </w:pPr>
      <w:r>
        <w:rPr>
          <w:rFonts w:ascii="Cambria" w:hAnsi="Cambria"/>
          <w:b w:val="0"/>
          <w:i w:val="0"/>
          <w:sz w:val="26"/>
        </w:rPr>
        <w:t xml:space="preserve"> </w:t>
      </w:r>
      <w:r>
        <w:rPr>
          <w:rFonts w:ascii="Cambria" w:hAnsi="Cambria"/>
          <w:b w:val="0"/>
          <w:i w:val="0"/>
          <w:sz w:val="26"/>
        </w:rPr>
        <w:t>TEXT A</w:t>
      </w:r>
      <w:r>
        <w:rPr>
          <w:rFonts w:ascii="Cambria" w:hAnsi="Cambria"/>
          <w:b w:val="0"/>
          <w:i w:val="0"/>
          <w:sz w:val="26"/>
        </w:rPr>
        <w:t xml:space="preserve"> „Jesus Christus, wie er uns in der Heiligen Schrift bezeugt wird, ist </w:t>
      </w:r>
      <w:r>
        <w:rPr>
          <w:rFonts w:ascii="Cambria" w:hAnsi="Cambria"/>
          <w:b/>
          <w:i w:val="0"/>
          <w:color w:val="8C2A24"/>
          <w:sz w:val="26"/>
        </w:rPr>
        <w:t>das eine Wort Gottes</w:t>
      </w:r>
      <w:r>
        <w:rPr>
          <w:rFonts w:ascii="Cambria" w:hAnsi="Cambria"/>
          <w:b w:val="0"/>
          <w:i w:val="0"/>
          <w:sz w:val="26"/>
        </w:rPr>
        <w:t xml:space="preserve">, das wir zu hören, dem wir im Leben und im Sterben zu vertrauen und zu gehorchen haben.“ </w:t>
      </w:r>
    </w:p>
    <w:p>
      <w:pPr>
        <w:spacing w:after="120"/>
      </w:pPr>
      <w:r>
        <w:rPr>
          <w:rFonts w:ascii="Cambria" w:hAnsi="Cambria"/>
          <w:b w:val="0"/>
          <w:i w:val="0"/>
          <w:sz w:val="26"/>
        </w:rPr>
        <w:t xml:space="preserve"> </w:t>
      </w:r>
      <w:r>
        <w:rPr>
          <w:rFonts w:ascii="Cambria" w:hAnsi="Cambria"/>
          <w:b w:val="0"/>
          <w:i w:val="0"/>
          <w:sz w:val="26"/>
        </w:rPr>
        <w:t>TEXT B</w:t>
      </w:r>
      <w:r>
        <w:rPr>
          <w:rFonts w:ascii="Cambria" w:hAnsi="Cambria"/>
          <w:b w:val="0"/>
          <w:i w:val="0"/>
          <w:sz w:val="26"/>
        </w:rPr>
        <w:t xml:space="preserve"> Gott begegne uns auch in den natürlichen Ordnungen des Lebens — in </w:t>
      </w:r>
      <w:r>
        <w:rPr>
          <w:rFonts w:ascii="Cambria" w:hAnsi="Cambria"/>
          <w:b/>
          <w:i w:val="0"/>
          <w:color w:val="8C2A24"/>
          <w:sz w:val="26"/>
        </w:rPr>
        <w:t>Familie, Volk und Rasse</w:t>
      </w:r>
      <w:r>
        <w:rPr>
          <w:rFonts w:ascii="Cambria" w:hAnsi="Cambria"/>
          <w:b w:val="0"/>
          <w:i w:val="0"/>
          <w:sz w:val="26"/>
        </w:rPr>
        <w:t xml:space="preserve">. Der Christ sei zum Gehorsam gegenüber diesen Ordnungen und gegenüber der von Gott gegebenen Obrigkeit verpflichtet. </w:t>
      </w:r>
    </w:p>
    <w:p>
      <w:pPr>
        <w:spacing w:after="120"/>
      </w:pPr>
      <w:r>
        <w:rPr>
          <w:rFonts w:ascii="Consolas" w:hAnsi="Consolas"/>
          <w:b w:val="0"/>
          <w:i w:val="0"/>
          <w:color w:val="6B7280"/>
          <w:sz w:val="17"/>
        </w:rPr>
        <w:t>Text A: Barmer Theologische Erklärung, These 1, 31. Mai 1934 · Text B: Kernaussage des Ansbacher Ratschlags vom 11. Juni 1934, sinngemäß zusammengefasst</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WORTLAUT DER ÜBERLEITUNG</w:t>
            </w:r>
          </w:p>
          <w:p>
            <w:pPr>
              <w:spacing w:after="80"/>
            </w:pPr>
            <w:r>
              <w:rPr>
                <w:b w:val="0"/>
                <w:i w:val="0"/>
              </w:rPr>
              <w:t xml:space="preserve">„Sie haben richtig getippt. Und jetzt die unangenehme Information: </w:t>
            </w:r>
            <w:r>
              <w:rPr>
                <w:b w:val="0"/>
                <w:i/>
              </w:rPr>
              <w:t>Beide</w:t>
            </w:r>
            <w:r>
              <w:rPr>
                <w:b w:val="0"/>
                <w:i w:val="0"/>
              </w:rPr>
              <w:t xml:space="preserve"> Texte stammen aus dem Jahr 1934. </w:t>
            </w:r>
            <w:r>
              <w:rPr>
                <w:b w:val="0"/>
                <w:i/>
              </w:rPr>
              <w:t>Beide</w:t>
            </w:r>
            <w:r>
              <w:rPr>
                <w:b w:val="0"/>
                <w:i w:val="0"/>
              </w:rPr>
              <w:t xml:space="preserve"> sind von evangelischen Theologen. Zwischen ihnen liegen dreizehn Tage. Text B kommt von acht Theologen, sechs davon fränkische Pfarrer, dazu zwei Professoren aus Erlangen. Das ist keine ferne Geschichte — das ist hier passiert, eine Autostunde von diesem Klassenzimmer entfernt.“</w:t>
            </w:r>
          </w:p>
        </w:tc>
      </w:tr>
    </w:tbl>
    <w:p>
      <w:pPr>
        <w:spacing w:after="120"/>
      </w:pPr>
    </w:p>
    <w:p>
      <w:r>
        <w:br w:type="page"/>
      </w:r>
    </w:p>
    <w:p>
      <w:pPr>
        <w:spacing w:after="40"/>
        <w:keepNext/>
      </w:pPr>
      <w:r>
        <w:rPr>
          <w:rFonts w:ascii="Consolas" w:hAnsi="Consolas"/>
          <w:b/>
          <w:color w:val="1E3A5F"/>
          <w:sz w:val="18"/>
        </w:rPr>
        <w:t>M11A · ROLLENKARTE · FÜR EIN ROLLENTEAM</w:t>
      </w:r>
    </w:p>
    <w:p>
      <w:pPr>
        <w:spacing w:before="160" w:after="160"/>
        <w:pBdr>
          <w:bottom w:val="single" w:sz="12" w:space="6" w:color="1E3A5F"/>
        </w:pBdr>
        <w:keepNext/>
      </w:pPr>
      <w:r>
        <w:rPr>
          <w:rFonts w:ascii="Consolas" w:hAnsi="Consolas"/>
          <w:b/>
          <w:color w:val="1E3A5F"/>
          <w:sz w:val="22"/>
        </w:rPr>
        <w:t>M11a · Rolle 1</w:t>
      </w:r>
      <w:r>
        <w:rPr>
          <w:rFonts w:ascii="Consolas" w:hAnsi="Consolas"/>
          <w:color w:val="6B7280"/>
          <w:sz w:val="18"/>
        </w:rPr>
        <w:t xml:space="preserve">   Talkrunde Ansbach, Juni 1934</w:t>
      </w:r>
    </w:p>
    <w:p>
      <w:pPr>
        <w:pStyle w:val="Heading2"/>
        <w:spacing w:after="160" w:before="200"/>
        <w:keepNext/>
      </w:pPr>
      <w:r>
        <w:rPr>
          <w:b w:val="0"/>
          <w:i w:val="0"/>
        </w:rPr>
        <w:t>Karl Barth, Theologieprofessor</w:t>
      </w:r>
    </w:p>
    <w:p>
      <w:pPr>
        <w:spacing w:after="80"/>
        <w:jc w:val="center"/>
      </w:pPr>
      <w:r>
        <w:drawing>
          <wp:inline xmlns:a="http://schemas.openxmlformats.org/drawingml/2006/main" xmlns:pic="http://schemas.openxmlformats.org/drawingml/2006/picture">
            <wp:extent cx="5220000" cy="693331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220000" cy="6933313"/>
                    </a:xfrm>
                    <a:prstGeom prst="rect"/>
                  </pic:spPr>
                </pic:pic>
              </a:graphicData>
            </a:graphic>
          </wp:inline>
        </w:drawing>
      </w:r>
    </w:p>
    <w:p>
      <w:pPr>
        <w:spacing w:after="160"/>
        <w:jc w:val="center"/>
      </w:pPr>
      <w:r>
        <w:rPr>
          <w:i/>
          <w:color w:val="6B7280"/>
          <w:sz w:val="17"/>
        </w:rPr>
        <w:t>Bildbeschreibung: Porträtfoto von Karl Barth mit Brille.</w:t>
      </w:r>
    </w:p>
    <w:p>
      <w:pPr>
        <w:spacing w:after="120"/>
      </w:pPr>
      <w:r>
        <w:rPr>
          <w:rFonts w:ascii="Consolas" w:hAnsi="Consolas"/>
          <w:b w:val="0"/>
          <w:i w:val="0"/>
          <w:color w:val="4B5563"/>
          <w:sz w:val="18"/>
        </w:rPr>
        <w:t>Karl Barth, Aufnahme von 1956</w:t>
      </w:r>
    </w:p>
    <w:p>
      <w:pPr>
        <w:pStyle w:val="Heading3"/>
        <w:spacing w:after="160" w:before="200"/>
        <w:keepNext/>
      </w:pPr>
      <w:r>
        <w:rPr>
          <w:b w:val="0"/>
          <w:i w:val="0"/>
        </w:rPr>
        <w:t>Wer du bist</w:t>
      </w:r>
    </w:p>
    <w:p>
      <w:pPr>
        <w:spacing w:after="120"/>
      </w:pPr>
      <w:r>
        <w:rPr>
          <w:b w:val="0"/>
          <w:i w:val="0"/>
        </w:rPr>
        <w:t>Du bist reformierter Theologe und lehrst an einer deutschen Universität. Du hast den Text, über den heute gestritten wird, maßgeblich verfasst — in einer Nacht, wie erzählt wird, während die beiden lutherischen Kollegen schliefen. Du hältst den Streit nicht für Kirchenpolitik, sondern für eine Frage auf Leben und Tod.</w:t>
      </w:r>
    </w:p>
    <w:p>
      <w:pPr>
        <w:pStyle w:val="Heading3"/>
        <w:spacing w:after="160" w:before="200"/>
        <w:keepNext/>
      </w:pPr>
      <w:r>
        <w:rPr>
          <w:b w:val="0"/>
          <w:i w:val="0"/>
        </w:rPr>
        <w:t>Dein Kernsatz</w:t>
      </w:r>
    </w:p>
    <w:p>
      <w:pPr>
        <w:spacing w:after="120"/>
      </w:pPr>
      <w:r>
        <w:rPr>
          <w:b w:val="0"/>
          <w:i w:val="0"/>
        </w:rPr>
        <w:t>Die Kirche hat einen einzigen Herrn. Sie darf ihre Botschaft nicht aus Blut, Volk oder Geschichte beziehen — sonst predigt sie am Ende sich selbst und nennt es Gott.</w:t>
      </w:r>
    </w:p>
    <w:p>
      <w:pPr>
        <w:pStyle w:val="Heading3"/>
        <w:spacing w:after="160" w:before="200"/>
        <w:keepNext/>
      </w:pPr>
      <w:r>
        <w:rPr>
          <w:b w:val="0"/>
          <w:i w:val="0"/>
        </w:rPr>
        <w:t>Deine Argumente</w:t>
      </w:r>
    </w:p>
    <w:p>
      <w:pPr>
        <w:pStyle w:val="ListBullet"/>
        <w:spacing w:after="60"/>
      </w:pPr>
      <w:r>
        <w:rPr>
          <w:b w:val="0"/>
          <w:i w:val="0"/>
        </w:rPr>
        <w:t>Wenn neben Christus noch andere „Offenbarungen“ gelten — Volk, Rasse, Führer —, dann kann die Kirche über kurz oder lang alles rechtfertigen.</w:t>
      </w:r>
    </w:p>
    <w:p>
      <w:pPr>
        <w:pStyle w:val="ListBullet"/>
        <w:spacing w:after="60"/>
      </w:pPr>
      <w:r>
        <w:rPr>
          <w:b w:val="0"/>
          <w:i w:val="0"/>
        </w:rPr>
        <w:t>Die Kirche ist nicht dazu da, dem Staat zu dienen, sondern ihn an seine Grenzen zu erinnern.</w:t>
      </w:r>
    </w:p>
    <w:p>
      <w:pPr>
        <w:pStyle w:val="ListBullet"/>
        <w:spacing w:after="60"/>
      </w:pPr>
      <w:r>
        <w:rPr>
          <w:b w:val="0"/>
          <w:i w:val="0"/>
        </w:rPr>
        <w:t xml:space="preserve">Wer sagt „auch, aber“, hat schon nachgegeben. Deshalb heißt es: </w:t>
      </w:r>
      <w:r>
        <w:rPr>
          <w:b w:val="0"/>
          <w:i/>
        </w:rPr>
        <w:t>das eine</w:t>
      </w:r>
      <w:r>
        <w:rPr>
          <w:b w:val="0"/>
          <w:i w:val="0"/>
        </w:rPr>
        <w:t xml:space="preserve"> Wort Gottes.</w:t>
      </w:r>
    </w:p>
    <w:p>
      <w:pPr>
        <w:pStyle w:val="Heading3"/>
        <w:spacing w:after="160" w:before="200"/>
        <w:keepNext/>
      </w:pPr>
      <w:r>
        <w:rPr>
          <w:b w:val="0"/>
          <w:i w:val="0"/>
        </w:rPr>
        <w:t>Was dich angreifbar macht</w:t>
      </w:r>
    </w:p>
    <w:p>
      <w:pPr>
        <w:spacing w:after="120"/>
      </w:pPr>
      <w:r>
        <w:rPr>
          <w:b w:val="0"/>
          <w:i w:val="0"/>
        </w:rPr>
        <w:t>Man wird dir vorwerfen, weltfremd zu sein: Du redest von Christus, während draußen Menschen Arbeit brauchen und das Land nach Jahren des Streits endlich Ruhe hat. Und: Du bist Schweizer. Man wird fragen, was dich das deutsche Volk angeht.</w:t>
      </w:r>
    </w:p>
    <w:p>
      <w:pPr>
        <w:spacing w:after="120"/>
      </w:pPr>
      <w:r>
        <w:rPr>
          <w:b w:val="0"/>
          <w:i/>
        </w:rPr>
        <w:t>Zur Person: Barth weigerte sich später, den Beamteneid auf Hitler ohne Vorbehalt zu leisten, verlor seinen Lehrstuhl und musste Deutschland verlassen.</w:t>
      </w:r>
    </w:p>
    <w:p>
      <w:pPr>
        <w:spacing w:after="40"/>
        <w:shd w:val="clear" w:color="auto" w:fill="E5ECF4"/>
        <w:keepNext/>
      </w:pPr>
      <w:r>
        <w:rPr>
          <w:rFonts w:ascii="Consolas" w:hAnsi="Consolas"/>
          <w:b/>
          <w:color w:val="1E3A5F"/>
          <w:sz w:val="18"/>
        </w:rPr>
        <w:t>VORBEREITUNG IM TEAM · 20 MINUTEN</w:t>
      </w:r>
    </w:p>
    <w:p>
      <w:pPr>
        <w:pStyle w:val="ListNumber"/>
        <w:spacing w:after="60"/>
        <w:numPr>
          <w:ilvl w:val="0"/>
          <w:numId w:val="10"/>
        </w:numPr>
      </w:pPr>
      <w:r>
        <w:rPr>
          <w:b w:val="0"/>
          <w:i w:val="0"/>
        </w:rPr>
        <w:t>Lest die Karte zweimal. Beim zweiten Mal unterstreicht den Satz, der eure Position am schärfsten trifft.</w:t>
      </w:r>
    </w:p>
    <w:p>
      <w:pPr>
        <w:pStyle w:val="ListNumber"/>
        <w:spacing w:after="60"/>
        <w:numPr>
          <w:ilvl w:val="0"/>
          <w:numId w:val="10"/>
        </w:numPr>
      </w:pPr>
      <w:r>
        <w:rPr>
          <w:b w:val="0"/>
          <w:i w:val="0"/>
        </w:rPr>
        <w:t xml:space="preserve">Formuliert </w:t>
      </w:r>
      <w:r>
        <w:rPr>
          <w:b/>
          <w:i w:val="0"/>
        </w:rPr>
        <w:t>drei</w:t>
      </w:r>
      <w:r>
        <w:rPr>
          <w:b w:val="0"/>
          <w:i w:val="0"/>
        </w:rPr>
        <w:t xml:space="preserve"> Argumente in ganzen Sätzen, jeweils beginnend mit „Ich sage das, weil …“.</w:t>
      </w:r>
    </w:p>
    <w:p>
      <w:pPr>
        <w:pStyle w:val="ListNumber"/>
        <w:spacing w:after="60"/>
        <w:numPr>
          <w:ilvl w:val="0"/>
          <w:numId w:val="10"/>
        </w:numPr>
      </w:pPr>
      <w:r>
        <w:rPr>
          <w:b w:val="0"/>
          <w:i w:val="0"/>
        </w:rPr>
        <w:t xml:space="preserve">Formuliert </w:t>
      </w:r>
      <w:r>
        <w:rPr>
          <w:b/>
          <w:i w:val="0"/>
        </w:rPr>
        <w:t>eine</w:t>
      </w:r>
      <w:r>
        <w:rPr>
          <w:b w:val="0"/>
          <w:i w:val="0"/>
        </w:rPr>
        <w:t xml:space="preserve"> Frage, mit der ihr eine andere Rolle in Schwierigkeiten bringt. Legt vorher fest, an wen sie geht.</w:t>
      </w:r>
    </w:p>
    <w:p>
      <w:pPr>
        <w:pStyle w:val="ListNumber"/>
        <w:spacing w:after="60"/>
        <w:numPr>
          <w:ilvl w:val="0"/>
          <w:numId w:val="10"/>
        </w:numPr>
      </w:pPr>
      <w:r>
        <w:rPr>
          <w:b w:val="0"/>
          <w:i w:val="0"/>
        </w:rPr>
        <w:t>Bereitet die Antwort auf den härtesten Angriff vor, der euch treffen kann.</w:t>
      </w:r>
    </w:p>
    <w:p>
      <w:pPr>
        <w:pStyle w:val="ListNumber"/>
        <w:spacing w:after="60"/>
        <w:numPr>
          <w:ilvl w:val="0"/>
          <w:numId w:val="10"/>
        </w:numPr>
      </w:pPr>
      <w:r>
        <w:rPr>
          <w:b w:val="0"/>
          <w:i w:val="0"/>
        </w:rPr>
        <w:t>Bestimmt Sprecherin oder Sprecher und zwei Zettelschreiber.</w:t>
      </w:r>
    </w:p>
    <w:p>
      <w:pPr>
        <w:spacing w:before="200" w:after="120"/>
        <w:pBdr>
          <w:top w:val="single" w:sz="6" w:space="6" w:color="B7BEC7"/>
        </w:pBdr>
      </w:pPr>
      <w:r>
        <w:rPr>
          <w:rFonts w:ascii="Consolas" w:hAnsi="Consolas"/>
          <w:color w:val="4B5563"/>
          <w:sz w:val="19"/>
        </w:rPr>
        <w:t xml:space="preserve">Sprecher/in: </w:t>
      </w:r>
      <w:r>
        <w:rPr>
          <w:color w:val="6B7280"/>
          <w:sz w:val="19"/>
        </w:rPr>
        <w:t>____________________</w:t>
      </w:r>
      <w:r>
        <w:t xml:space="preserve">    </w:t>
      </w:r>
      <w:r>
        <w:rPr>
          <w:rFonts w:ascii="Consolas" w:hAnsi="Consolas"/>
          <w:color w:val="4B5563"/>
          <w:sz w:val="19"/>
        </w:rPr>
        <w:t xml:space="preserve">Team: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M11B · ROLLENKARTE · FÜR EIN ROLLENTEAM</w:t>
      </w:r>
    </w:p>
    <w:p>
      <w:pPr>
        <w:spacing w:before="160" w:after="160"/>
        <w:pBdr>
          <w:bottom w:val="single" w:sz="12" w:space="6" w:color="1E3A5F"/>
        </w:pBdr>
        <w:keepNext/>
      </w:pPr>
      <w:r>
        <w:rPr>
          <w:rFonts w:ascii="Consolas" w:hAnsi="Consolas"/>
          <w:b/>
          <w:color w:val="1E3A5F"/>
          <w:sz w:val="22"/>
        </w:rPr>
        <w:t>M11b · Rolle 2</w:t>
      </w:r>
      <w:r>
        <w:rPr>
          <w:rFonts w:ascii="Consolas" w:hAnsi="Consolas"/>
          <w:color w:val="6B7280"/>
          <w:sz w:val="18"/>
        </w:rPr>
        <w:t xml:space="preserve">   Talkrunde Ansbach, Juni 1934</w:t>
      </w:r>
    </w:p>
    <w:p>
      <w:pPr>
        <w:pStyle w:val="Heading2"/>
        <w:spacing w:after="160" w:before="200"/>
        <w:keepNext/>
      </w:pPr>
      <w:r>
        <w:rPr>
          <w:b w:val="0"/>
          <w:i w:val="0"/>
        </w:rPr>
        <w:t>Paul Althaus, Theologieprofessor in Erlangen</w:t>
      </w:r>
    </w:p>
    <w:p>
      <w:pPr>
        <w:pStyle w:val="Heading3"/>
        <w:spacing w:after="160" w:before="200"/>
        <w:keepNext/>
      </w:pPr>
      <w:r>
        <w:rPr>
          <w:b w:val="0"/>
          <w:i w:val="0"/>
        </w:rPr>
        <w:t>Wer du bist</w:t>
      </w:r>
    </w:p>
    <w:p>
      <w:pPr>
        <w:spacing w:after="120"/>
      </w:pPr>
      <w:r>
        <w:rPr>
          <w:b w:val="0"/>
          <w:i w:val="0"/>
        </w:rPr>
        <w:t xml:space="preserve">Du bist einer der angesehensten lutherischen Theologen Deutschlands, Professor in Erlangen, weit über Bayern hinaus geachtet. Du hast den Ansbacher Ratschlag mit unterschrieben. Du hältst dich </w:t>
      </w:r>
      <w:r>
        <w:rPr>
          <w:b/>
          <w:i w:val="0"/>
        </w:rPr>
        <w:t>nicht</w:t>
      </w:r>
      <w:r>
        <w:rPr>
          <w:b w:val="0"/>
          <w:i w:val="0"/>
        </w:rPr>
        <w:t xml:space="preserve"> für einen Nationalsozialisten, sondern für einen Bewahrer der lutherischen Lehre.</w:t>
      </w:r>
    </w:p>
    <w:p>
      <w:pPr>
        <w:pStyle w:val="Heading3"/>
        <w:spacing w:after="160" w:before="200"/>
        <w:keepNext/>
      </w:pPr>
      <w:r>
        <w:rPr>
          <w:b w:val="0"/>
          <w:i w:val="0"/>
        </w:rPr>
        <w:t>Dein Kernsatz</w:t>
      </w:r>
    </w:p>
    <w:p>
      <w:pPr>
        <w:spacing w:after="120"/>
      </w:pPr>
      <w:r>
        <w:rPr>
          <w:b w:val="0"/>
          <w:i w:val="0"/>
        </w:rPr>
        <w:t>Gott begegnet uns nicht nur in der Bibel, sondern auch in den Ordnungen, in die er uns hineingestellt hat: Familie, Volk, Obrigkeit. Wer das leugnet, macht das Christentum weltfremd.</w:t>
      </w:r>
    </w:p>
    <w:p>
      <w:pPr>
        <w:pStyle w:val="Heading3"/>
        <w:spacing w:after="160" w:before="200"/>
        <w:keepNext/>
      </w:pPr>
      <w:r>
        <w:rPr>
          <w:b w:val="0"/>
          <w:i w:val="0"/>
        </w:rPr>
        <w:t>Deine Argumente</w:t>
      </w:r>
    </w:p>
    <w:p>
      <w:pPr>
        <w:pStyle w:val="ListBullet"/>
        <w:spacing w:after="60"/>
      </w:pPr>
      <w:r>
        <w:rPr>
          <w:b w:val="0"/>
          <w:i w:val="0"/>
        </w:rPr>
        <w:t>Luther selbst hat gelehrt, dass Gott durch weltliche Ordnungen regiert. Das ist keine Erfindung von 1934, sondern vierhundert Jahre alt.</w:t>
      </w:r>
    </w:p>
    <w:p>
      <w:pPr>
        <w:pStyle w:val="ListBullet"/>
        <w:spacing w:after="60"/>
      </w:pPr>
      <w:r>
        <w:rPr>
          <w:b w:val="0"/>
          <w:i w:val="0"/>
        </w:rPr>
        <w:t>Ein Christ hat Pflichten in dieser Welt — als Vater, als Nachbar, als Staatsbürger. Wer nur „Christus allein“ ruft, entzieht sich diesen Pflichten.</w:t>
      </w:r>
    </w:p>
    <w:p>
      <w:pPr>
        <w:pStyle w:val="ListBullet"/>
        <w:spacing w:after="60"/>
      </w:pPr>
      <w:r>
        <w:rPr>
          <w:b w:val="0"/>
          <w:i w:val="0"/>
        </w:rPr>
        <w:t>Barmen spaltet die Kirche in einem Moment, in dem sie zusammenhalten müsste.</w:t>
      </w:r>
    </w:p>
    <w:p>
      <w:pPr>
        <w:pStyle w:val="Heading3"/>
        <w:spacing w:after="160" w:before="200"/>
        <w:keepNext/>
      </w:pPr>
      <w:r>
        <w:rPr>
          <w:b w:val="0"/>
          <w:i w:val="0"/>
        </w:rPr>
        <w:t>Was dich angreifbar macht</w:t>
      </w:r>
    </w:p>
    <w:p>
      <w:pPr>
        <w:spacing w:after="120"/>
      </w:pPr>
      <w:r>
        <w:rPr>
          <w:b w:val="0"/>
          <w:i w:val="0"/>
        </w:rPr>
        <w:t xml:space="preserve">Die entscheidende Frage wird lauten: Wenn Volk und Rasse Ordnungen Gottes sind — </w:t>
      </w:r>
      <w:r>
        <w:rPr>
          <w:b w:val="0"/>
          <w:i/>
        </w:rPr>
        <w:t>gilt dein Satz auch dann noch, wenn dieser Staat Menschen aus der Kirche wirft?</w:t>
      </w:r>
      <w:r>
        <w:rPr>
          <w:b w:val="0"/>
          <w:i w:val="0"/>
        </w:rPr>
        <w:t xml:space="preserve"> Überlegt euch vorher eine Antwort. Und sie darf nicht „dazu sage ich nichts“ lauten, denn dann hat euer Gegenüber gewonnen.</w:t>
      </w:r>
    </w:p>
    <w:p>
      <w:pPr>
        <w:spacing w:after="120"/>
      </w:pPr>
      <w:r>
        <w:rPr>
          <w:b w:val="0"/>
          <w:i/>
        </w:rPr>
        <w:t>Zur Einordnung: Der Ansbacher Ratschlag begrüßte den nationalsozialistischen Staat ausdrücklich. Die Bindung an „Volk und Rasse“ als Ordnung Gottes ist genau die Position, die Barmen ablehnt.</w:t>
      </w:r>
    </w:p>
    <w:p>
      <w:pPr>
        <w:spacing w:after="40"/>
        <w:shd w:val="clear" w:color="auto" w:fill="E5ECF4"/>
        <w:keepNext/>
      </w:pPr>
      <w:r>
        <w:rPr>
          <w:rFonts w:ascii="Consolas" w:hAnsi="Consolas"/>
          <w:b/>
          <w:color w:val="1E3A5F"/>
          <w:sz w:val="18"/>
        </w:rPr>
        <w:t>VORBEREITUNG IM TEAM · 20 MINUTEN</w:t>
      </w:r>
    </w:p>
    <w:p>
      <w:pPr>
        <w:pStyle w:val="ListNumber"/>
        <w:spacing w:after="60"/>
        <w:numPr>
          <w:ilvl w:val="0"/>
          <w:numId w:val="11"/>
        </w:numPr>
      </w:pPr>
      <w:r>
        <w:rPr>
          <w:b w:val="0"/>
          <w:i w:val="0"/>
        </w:rPr>
        <w:t>Lest die Karte zweimal. Beim zweiten Mal unterstreicht den Satz, der eure Position am schärfsten trifft.</w:t>
      </w:r>
    </w:p>
    <w:p>
      <w:pPr>
        <w:pStyle w:val="ListNumber"/>
        <w:spacing w:after="60"/>
        <w:numPr>
          <w:ilvl w:val="0"/>
          <w:numId w:val="11"/>
        </w:numPr>
      </w:pPr>
      <w:r>
        <w:rPr>
          <w:b w:val="0"/>
          <w:i w:val="0"/>
        </w:rPr>
        <w:t xml:space="preserve">Formuliert </w:t>
      </w:r>
      <w:r>
        <w:rPr>
          <w:b/>
          <w:i w:val="0"/>
        </w:rPr>
        <w:t>drei</w:t>
      </w:r>
      <w:r>
        <w:rPr>
          <w:b w:val="0"/>
          <w:i w:val="0"/>
        </w:rPr>
        <w:t xml:space="preserve"> Argumente in ganzen Sätzen, jeweils beginnend mit „Ich sage das, weil …“.</w:t>
      </w:r>
    </w:p>
    <w:p>
      <w:pPr>
        <w:pStyle w:val="ListNumber"/>
        <w:spacing w:after="60"/>
        <w:numPr>
          <w:ilvl w:val="0"/>
          <w:numId w:val="11"/>
        </w:numPr>
      </w:pPr>
      <w:r>
        <w:rPr>
          <w:b w:val="0"/>
          <w:i w:val="0"/>
        </w:rPr>
        <w:t xml:space="preserve">Formuliert </w:t>
      </w:r>
      <w:r>
        <w:rPr>
          <w:b/>
          <w:i w:val="0"/>
        </w:rPr>
        <w:t>eine</w:t>
      </w:r>
      <w:r>
        <w:rPr>
          <w:b w:val="0"/>
          <w:i w:val="0"/>
        </w:rPr>
        <w:t xml:space="preserve"> Frage, mit der ihr eine andere Rolle in Schwierigkeiten bringt.</w:t>
      </w:r>
    </w:p>
    <w:p>
      <w:pPr>
        <w:pStyle w:val="ListNumber"/>
        <w:spacing w:after="60"/>
        <w:numPr>
          <w:ilvl w:val="0"/>
          <w:numId w:val="11"/>
        </w:numPr>
      </w:pPr>
      <w:r>
        <w:rPr>
          <w:b w:val="0"/>
          <w:i w:val="0"/>
        </w:rPr>
        <w:t>Bereitet die Antwort auf die Frage vor, die oben unter „Was dich angreifbar macht“ steht. Sie kommt bestimmt.</w:t>
      </w:r>
    </w:p>
    <w:p>
      <w:pPr>
        <w:pStyle w:val="ListNumber"/>
        <w:spacing w:after="60"/>
        <w:numPr>
          <w:ilvl w:val="0"/>
          <w:numId w:val="11"/>
        </w:numPr>
      </w:pPr>
      <w:r>
        <w:rPr>
          <w:b w:val="0"/>
          <w:i w:val="0"/>
        </w:rPr>
        <w:t>Bestimmt Sprecherin oder Sprecher und zwei Zettelschreiber.</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WICHTIG</w:t>
            </w:r>
          </w:p>
          <w:p>
            <w:pPr>
              <w:spacing w:after="80"/>
            </w:pPr>
            <w:r>
              <w:rPr>
                <w:b w:val="0"/>
                <w:i w:val="0"/>
              </w:rPr>
              <w:t>Ihr spielt eine Position, die ihr nicht teilen müsst. Spielt sie trotzdem so stark, wie sie damals war — nur dann versteht die Klasse, warum so viele ihr gefolgt sind. Nach der Runde legt ihr die Rolle sichtbar ab.</w:t>
            </w:r>
          </w:p>
        </w:tc>
      </w:tr>
    </w:tbl>
    <w:p>
      <w:pPr>
        <w:spacing w:after="120"/>
      </w:pPr>
    </w:p>
    <w:p>
      <w:pPr>
        <w:spacing w:before="200" w:after="120"/>
        <w:pBdr>
          <w:top w:val="single" w:sz="6" w:space="6" w:color="B7BEC7"/>
        </w:pBdr>
      </w:pPr>
      <w:r>
        <w:rPr>
          <w:rFonts w:ascii="Consolas" w:hAnsi="Consolas"/>
          <w:color w:val="4B5563"/>
          <w:sz w:val="19"/>
        </w:rPr>
        <w:t xml:space="preserve">Sprecher/in: </w:t>
      </w:r>
      <w:r>
        <w:rPr>
          <w:color w:val="6B7280"/>
          <w:sz w:val="19"/>
        </w:rPr>
        <w:t>____________________</w:t>
      </w:r>
      <w:r>
        <w:t xml:space="preserve">    </w:t>
      </w:r>
      <w:r>
        <w:rPr>
          <w:rFonts w:ascii="Consolas" w:hAnsi="Consolas"/>
          <w:color w:val="4B5563"/>
          <w:sz w:val="19"/>
        </w:rPr>
        <w:t xml:space="preserve">Team: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M11C · ROLLENKARTE · FÜR EIN ROLLENTEAM</w:t>
      </w:r>
    </w:p>
    <w:p>
      <w:pPr>
        <w:spacing w:before="160" w:after="160"/>
        <w:pBdr>
          <w:bottom w:val="single" w:sz="12" w:space="6" w:color="1E3A5F"/>
        </w:pBdr>
        <w:keepNext/>
      </w:pPr>
      <w:r>
        <w:rPr>
          <w:rFonts w:ascii="Consolas" w:hAnsi="Consolas"/>
          <w:b/>
          <w:color w:val="1E3A5F"/>
          <w:sz w:val="22"/>
        </w:rPr>
        <w:t>M11c · Rolle 3</w:t>
      </w:r>
      <w:r>
        <w:rPr>
          <w:rFonts w:ascii="Consolas" w:hAnsi="Consolas"/>
          <w:color w:val="6B7280"/>
          <w:sz w:val="18"/>
        </w:rPr>
        <w:t xml:space="preserve">   Talkrunde Ansbach, Juni 1934</w:t>
      </w:r>
    </w:p>
    <w:p>
      <w:pPr>
        <w:pStyle w:val="Heading2"/>
        <w:spacing w:after="160" w:before="200"/>
        <w:keepNext/>
      </w:pPr>
      <w:r>
        <w:rPr>
          <w:b w:val="0"/>
          <w:i w:val="0"/>
        </w:rPr>
        <w:t>Pfarrer Wagner, „Deutscher Christ“</w:t>
      </w:r>
    </w:p>
    <w:p>
      <w:pPr>
        <w:pStyle w:val="Heading3"/>
        <w:spacing w:after="160" w:before="200"/>
        <w:keepNext/>
      </w:pPr>
      <w:r>
        <w:rPr>
          <w:b w:val="0"/>
          <w:i w:val="0"/>
        </w:rPr>
        <w:t>Wer du bist</w:t>
      </w:r>
    </w:p>
    <w:p>
      <w:pPr>
        <w:spacing w:after="120"/>
      </w:pPr>
      <w:r>
        <w:rPr>
          <w:b w:val="0"/>
          <w:i w:val="0"/>
        </w:rPr>
        <w:t>Du bist Anfang dreißig, Pfarrer einer Stadtgemeinde, und du bist begeistert. Vor drei Jahren saßen sonntags dreißig alte Frauen in deiner Kirche. Jetzt kommen junge Männer, es wird gesungen, die Gemeinde lebt. Du gehörst zu den Deutschen Christen und siehst darin keinen Verrat, sondern eine Erneuerung.</w:t>
      </w:r>
    </w:p>
    <w:p>
      <w:pPr>
        <w:pStyle w:val="Heading3"/>
        <w:spacing w:after="160" w:before="200"/>
        <w:keepNext/>
      </w:pPr>
      <w:r>
        <w:rPr>
          <w:b w:val="0"/>
          <w:i w:val="0"/>
        </w:rPr>
        <w:t>Dein Kernsatz</w:t>
      </w:r>
    </w:p>
    <w:p>
      <w:pPr>
        <w:spacing w:after="120"/>
      </w:pPr>
      <w:r>
        <w:rPr>
          <w:b w:val="0"/>
          <w:i w:val="0"/>
        </w:rPr>
        <w:t>Endlich kommen die Männer wieder in die Kirche. Wer das schlechtreden will, soll mir erklären, wie er die Kirche sonst retten wollte.</w:t>
      </w:r>
    </w:p>
    <w:p>
      <w:pPr>
        <w:pStyle w:val="Heading3"/>
        <w:spacing w:after="160" w:before="200"/>
        <w:keepNext/>
      </w:pPr>
      <w:r>
        <w:rPr>
          <w:b w:val="0"/>
          <w:i w:val="0"/>
        </w:rPr>
        <w:t>Deine Argumente</w:t>
      </w:r>
    </w:p>
    <w:p>
      <w:pPr>
        <w:pStyle w:val="ListBullet"/>
        <w:spacing w:after="60"/>
      </w:pPr>
      <w:r>
        <w:rPr>
          <w:b w:val="0"/>
          <w:i w:val="0"/>
        </w:rPr>
        <w:t>Die Kirche war am Aussterben. Jetzt ist sie wieder mitten im Volk.</w:t>
      </w:r>
    </w:p>
    <w:p>
      <w:pPr>
        <w:pStyle w:val="ListBullet"/>
        <w:spacing w:after="60"/>
      </w:pPr>
      <w:r>
        <w:rPr>
          <w:b w:val="0"/>
          <w:i w:val="0"/>
        </w:rPr>
        <w:t>Was ist falsch daran, dass Christen ihr Vaterland lieben?</w:t>
      </w:r>
    </w:p>
    <w:p>
      <w:pPr>
        <w:pStyle w:val="ListBullet"/>
        <w:spacing w:after="60"/>
      </w:pPr>
      <w:r>
        <w:rPr>
          <w:b w:val="0"/>
          <w:i w:val="0"/>
        </w:rPr>
        <w:t>Die Professoren streiten über Sätze. Ich habe eine Gemeinde, und die wächst.</w:t>
      </w:r>
    </w:p>
    <w:p>
      <w:pPr>
        <w:pStyle w:val="Heading3"/>
        <w:spacing w:after="160" w:before="200"/>
        <w:keepNext/>
      </w:pPr>
      <w:r>
        <w:rPr>
          <w:b w:val="0"/>
          <w:i w:val="0"/>
        </w:rPr>
        <w:t>Was dich angreifbar macht</w:t>
      </w:r>
    </w:p>
    <w:p>
      <w:pPr>
        <w:spacing w:after="120"/>
      </w:pPr>
      <w:r>
        <w:rPr>
          <w:b w:val="0"/>
          <w:i w:val="0"/>
        </w:rPr>
        <w:t>Man wird dich fragen, was mit den Gemeindegliedern ist, die nicht mehr kommen dürfen. Und man wird dich mit der Sportpalastkundgebung konfrontieren: Willst du wirklich das Alte Testament abschaffen? Überlegt, ob euer Pfarrer Wagner davon abrückt — oder nicht. Beides ist historisch möglich, und beides sagt etwas aus.</w:t>
      </w:r>
    </w:p>
    <w:p>
      <w:pPr>
        <w:spacing w:after="40"/>
        <w:shd w:val="clear" w:color="auto" w:fill="E5ECF4"/>
        <w:keepNext/>
      </w:pPr>
      <w:r>
        <w:rPr>
          <w:rFonts w:ascii="Consolas" w:hAnsi="Consolas"/>
          <w:b/>
          <w:color w:val="1E3A5F"/>
          <w:sz w:val="18"/>
        </w:rPr>
        <w:t>VORBEREITUNG IM TEAM · 20 MINUTEN</w:t>
      </w:r>
    </w:p>
    <w:p>
      <w:pPr>
        <w:pStyle w:val="ListNumber"/>
        <w:spacing w:after="60"/>
        <w:numPr>
          <w:ilvl w:val="0"/>
          <w:numId w:val="12"/>
        </w:numPr>
      </w:pPr>
      <w:r>
        <w:rPr>
          <w:b w:val="0"/>
          <w:i w:val="0"/>
        </w:rPr>
        <w:t>Lest die Karte zweimal. Unterstreicht den Satz, der eure Position am schärfsten trifft.</w:t>
      </w:r>
    </w:p>
    <w:p>
      <w:pPr>
        <w:pStyle w:val="ListNumber"/>
        <w:spacing w:after="60"/>
        <w:numPr>
          <w:ilvl w:val="0"/>
          <w:numId w:val="12"/>
        </w:numPr>
      </w:pPr>
      <w:r>
        <w:rPr>
          <w:b w:val="0"/>
          <w:i w:val="0"/>
        </w:rPr>
        <w:t xml:space="preserve">Formuliert </w:t>
      </w:r>
      <w:r>
        <w:rPr>
          <w:b/>
          <w:i w:val="0"/>
        </w:rPr>
        <w:t>drei</w:t>
      </w:r>
      <w:r>
        <w:rPr>
          <w:b w:val="0"/>
          <w:i w:val="0"/>
        </w:rPr>
        <w:t xml:space="preserve"> Argumente, jeweils beginnend mit „Ich sage das, weil …“.</w:t>
      </w:r>
    </w:p>
    <w:p>
      <w:pPr>
        <w:pStyle w:val="ListNumber"/>
        <w:spacing w:after="60"/>
        <w:numPr>
          <w:ilvl w:val="0"/>
          <w:numId w:val="12"/>
        </w:numPr>
      </w:pPr>
      <w:r>
        <w:rPr>
          <w:b w:val="0"/>
          <w:i w:val="0"/>
        </w:rPr>
        <w:t xml:space="preserve">Formuliert </w:t>
      </w:r>
      <w:r>
        <w:rPr>
          <w:b/>
          <w:i w:val="0"/>
        </w:rPr>
        <w:t>eine</w:t>
      </w:r>
      <w:r>
        <w:rPr>
          <w:b w:val="0"/>
          <w:i w:val="0"/>
        </w:rPr>
        <w:t xml:space="preserve"> Frage an eine andere Rolle.</w:t>
      </w:r>
    </w:p>
    <w:p>
      <w:pPr>
        <w:pStyle w:val="ListNumber"/>
        <w:spacing w:after="60"/>
        <w:numPr>
          <w:ilvl w:val="0"/>
          <w:numId w:val="12"/>
        </w:numPr>
      </w:pPr>
      <w:r>
        <w:rPr>
          <w:b w:val="0"/>
          <w:i w:val="0"/>
        </w:rPr>
        <w:t>Entscheidet: Rückt euer Pfarrer von der Forderung ab, das Alte Testament abzuschaffen — ja oder nein? Begründet eure Entscheidung in einem Satz.</w:t>
      </w:r>
    </w:p>
    <w:p>
      <w:pPr>
        <w:pStyle w:val="ListNumber"/>
        <w:spacing w:after="60"/>
        <w:numPr>
          <w:ilvl w:val="0"/>
          <w:numId w:val="12"/>
        </w:numPr>
      </w:pPr>
      <w:r>
        <w:rPr>
          <w:b w:val="0"/>
          <w:i w:val="0"/>
        </w:rPr>
        <w:t>Bestimmt Sprecherin oder Sprecher und zwei Zettelschreiber.</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WICHTIG</w:t>
            </w:r>
          </w:p>
          <w:p>
            <w:pPr>
              <w:spacing w:after="80"/>
            </w:pPr>
            <w:r>
              <w:rPr>
                <w:b w:val="0"/>
                <w:i w:val="0"/>
              </w:rPr>
              <w:t>Ihr spielt eine Position, die ihr nicht teilen müsst. Nach der Runde legt ihr die Rolle sichtbar ab, und niemand wird für das verantwortlich gemacht, was seine Rolle gesagt hat.</w:t>
            </w:r>
          </w:p>
        </w:tc>
      </w:tr>
    </w:tbl>
    <w:p>
      <w:pPr>
        <w:spacing w:after="120"/>
      </w:pPr>
    </w:p>
    <w:p>
      <w:pPr>
        <w:spacing w:before="200" w:after="120"/>
        <w:pBdr>
          <w:top w:val="single" w:sz="6" w:space="6" w:color="B7BEC7"/>
        </w:pBdr>
      </w:pPr>
      <w:r>
        <w:rPr>
          <w:rFonts w:ascii="Consolas" w:hAnsi="Consolas"/>
          <w:color w:val="4B5563"/>
          <w:sz w:val="19"/>
        </w:rPr>
        <w:t xml:space="preserve">Sprecher/in: </w:t>
      </w:r>
      <w:r>
        <w:rPr>
          <w:color w:val="6B7280"/>
          <w:sz w:val="19"/>
        </w:rPr>
        <w:t>____________________</w:t>
      </w:r>
      <w:r>
        <w:t xml:space="preserve">    </w:t>
      </w:r>
      <w:r>
        <w:rPr>
          <w:rFonts w:ascii="Consolas" w:hAnsi="Consolas"/>
          <w:color w:val="4B5563"/>
          <w:sz w:val="19"/>
        </w:rPr>
        <w:t xml:space="preserve">Team: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M11D · ROLLENKARTE · FÜR EIN ROLLENTEAM</w:t>
      </w:r>
    </w:p>
    <w:p>
      <w:pPr>
        <w:spacing w:before="160" w:after="160"/>
        <w:pBdr>
          <w:bottom w:val="single" w:sz="12" w:space="6" w:color="1E3A5F"/>
        </w:pBdr>
        <w:keepNext/>
      </w:pPr>
      <w:r>
        <w:rPr>
          <w:rFonts w:ascii="Consolas" w:hAnsi="Consolas"/>
          <w:b/>
          <w:color w:val="1E3A5F"/>
          <w:sz w:val="22"/>
        </w:rPr>
        <w:t>M11d · Rolle 4</w:t>
      </w:r>
      <w:r>
        <w:rPr>
          <w:rFonts w:ascii="Consolas" w:hAnsi="Consolas"/>
          <w:color w:val="6B7280"/>
          <w:sz w:val="18"/>
        </w:rPr>
        <w:t xml:space="preserve">   Talkrunde Ansbach, Juni 1934</w:t>
      </w:r>
    </w:p>
    <w:p>
      <w:pPr>
        <w:pStyle w:val="Heading2"/>
        <w:spacing w:after="160" w:before="200"/>
        <w:keepNext/>
      </w:pPr>
      <w:r>
        <w:rPr>
          <w:b w:val="0"/>
          <w:i w:val="0"/>
        </w:rPr>
        <w:t>Hans Meiser, Landesbischof in Bayern</w:t>
      </w:r>
    </w:p>
    <w:p>
      <w:pPr>
        <w:pStyle w:val="Heading3"/>
        <w:spacing w:after="160" w:before="200"/>
        <w:keepNext/>
      </w:pPr>
      <w:r>
        <w:rPr>
          <w:b w:val="0"/>
          <w:i w:val="0"/>
        </w:rPr>
        <w:t>Wer du bist</w:t>
      </w:r>
    </w:p>
    <w:p>
      <w:pPr>
        <w:spacing w:after="120"/>
      </w:pPr>
      <w:r>
        <w:rPr>
          <w:b w:val="0"/>
          <w:i w:val="0"/>
        </w:rPr>
        <w:t>Du leitest die bayerische Landeskirche. Sie ist eine der wenigen, die noch nicht von den Deutschen Christen übernommen wurden — man nennt sie deshalb „intakt“. Genau das willst du erhalten. Du hast den Ansbacher Ratschlag abgelehnt, weil er die Kirche spaltet. Barmen hast du aber auch nicht unterschrieben.</w:t>
      </w:r>
    </w:p>
    <w:p>
      <w:pPr>
        <w:pStyle w:val="Heading3"/>
        <w:spacing w:after="160" w:before="200"/>
        <w:keepNext/>
      </w:pPr>
      <w:r>
        <w:rPr>
          <w:b w:val="0"/>
          <w:i w:val="0"/>
        </w:rPr>
        <w:t>Dein Kernsatz</w:t>
      </w:r>
    </w:p>
    <w:p>
      <w:pPr>
        <w:spacing w:after="120"/>
      </w:pPr>
      <w:r>
        <w:rPr>
          <w:b w:val="0"/>
          <w:i w:val="0"/>
        </w:rPr>
        <w:t>Meine Aufgabe ist es, diese Landeskirche zusammenzuhalten. Wer sich zu weit hinauslehnt, verliert sie ganz — und dann ist niemandem geholfen.</w:t>
      </w:r>
    </w:p>
    <w:p>
      <w:pPr>
        <w:pStyle w:val="Heading3"/>
        <w:spacing w:after="160" w:before="200"/>
        <w:keepNext/>
      </w:pPr>
      <w:r>
        <w:rPr>
          <w:b w:val="0"/>
          <w:i w:val="0"/>
        </w:rPr>
        <w:t>Deine Argumente</w:t>
      </w:r>
    </w:p>
    <w:p>
      <w:pPr>
        <w:pStyle w:val="ListBullet"/>
        <w:spacing w:after="60"/>
      </w:pPr>
      <w:r>
        <w:rPr>
          <w:b w:val="0"/>
          <w:i w:val="0"/>
        </w:rPr>
        <w:t>Eine Kirche, die es noch gibt, kann später handeln. Eine zerschlagene Kirche kann gar nichts mehr.</w:t>
      </w:r>
    </w:p>
    <w:p>
      <w:pPr>
        <w:pStyle w:val="ListBullet"/>
        <w:spacing w:after="60"/>
      </w:pPr>
      <w:r>
        <w:rPr>
          <w:b w:val="0"/>
          <w:i w:val="0"/>
        </w:rPr>
        <w:t>Große Worte in Wuppertal kosten nichts. Ich muss morgen früh mit dem Reichsstatthalter telefonieren.</w:t>
      </w:r>
    </w:p>
    <w:p>
      <w:pPr>
        <w:pStyle w:val="ListBullet"/>
        <w:spacing w:after="60"/>
      </w:pPr>
      <w:r>
        <w:rPr>
          <w:b w:val="0"/>
          <w:i w:val="0"/>
        </w:rPr>
        <w:t>Ich verteidige die Ordnung meiner Kirche gegen die Eingliederung in eine Reichskirche. Das ist Widerstand genug.</w:t>
      </w:r>
    </w:p>
    <w:p>
      <w:pPr>
        <w:pStyle w:val="Heading3"/>
        <w:spacing w:after="160" w:before="200"/>
        <w:keepNext/>
      </w:pPr>
      <w:r>
        <w:rPr>
          <w:b w:val="0"/>
          <w:i w:val="0"/>
        </w:rPr>
        <w:t>Was dich angreifbar macht</w:t>
      </w:r>
    </w:p>
    <w:p>
      <w:pPr>
        <w:spacing w:after="120"/>
      </w:pPr>
      <w:r>
        <w:rPr>
          <w:b w:val="0"/>
          <w:i w:val="0"/>
        </w:rPr>
        <w:t xml:space="preserve">Die Moderation wird dich fragen: </w:t>
      </w:r>
      <w:r>
        <w:rPr>
          <w:b w:val="0"/>
          <w:i/>
        </w:rPr>
        <w:t>„Sie haben beide Texte gelesen und keinen von beiden unterschrieben. Wie lange kann man das durchhalten?“</w:t>
      </w:r>
      <w:r>
        <w:rPr>
          <w:b w:val="0"/>
          <w:i w:val="0"/>
        </w:rPr>
        <w:t xml:space="preserve"> Und Charlotte S. wird wissen wollen, was dein Zusammenhalten ihr nützt.</w:t>
      </w:r>
    </w:p>
    <w:p>
      <w:pPr>
        <w:spacing w:after="120"/>
      </w:pPr>
      <w:r>
        <w:rPr>
          <w:b w:val="0"/>
          <w:i/>
        </w:rPr>
        <w:t>Zur Person: Im Oktober 1934 wurde Meiser unter Hausarrest gestellt. In Franken demonstrierten Tausende für ihn, und die Eingliederung der bayerischen Landeskirche scheiterte. Zur Verfolgung der Juden hat er sich öffentlich nicht geäußert. Mehr dazu in M14.</w:t>
      </w:r>
    </w:p>
    <w:p>
      <w:pPr>
        <w:spacing w:after="40"/>
        <w:shd w:val="clear" w:color="auto" w:fill="E5ECF4"/>
        <w:keepNext/>
      </w:pPr>
      <w:r>
        <w:rPr>
          <w:rFonts w:ascii="Consolas" w:hAnsi="Consolas"/>
          <w:b/>
          <w:color w:val="1E3A5F"/>
          <w:sz w:val="18"/>
        </w:rPr>
        <w:t>VORBEREITUNG IM TEAM · 20 MINUTEN</w:t>
      </w:r>
    </w:p>
    <w:p>
      <w:pPr>
        <w:pStyle w:val="ListNumber"/>
        <w:spacing w:after="60"/>
        <w:numPr>
          <w:ilvl w:val="0"/>
          <w:numId w:val="13"/>
        </w:numPr>
      </w:pPr>
      <w:r>
        <w:rPr>
          <w:b w:val="0"/>
          <w:i w:val="0"/>
        </w:rPr>
        <w:t>Lest die Karte zweimal. Unterstreicht den Satz, der eure Position am schärfsten trifft.</w:t>
      </w:r>
    </w:p>
    <w:p>
      <w:pPr>
        <w:pStyle w:val="ListNumber"/>
        <w:spacing w:after="60"/>
        <w:numPr>
          <w:ilvl w:val="0"/>
          <w:numId w:val="13"/>
        </w:numPr>
      </w:pPr>
      <w:r>
        <w:rPr>
          <w:b w:val="0"/>
          <w:i w:val="0"/>
        </w:rPr>
        <w:t xml:space="preserve">Formuliert </w:t>
      </w:r>
      <w:r>
        <w:rPr>
          <w:b/>
          <w:i w:val="0"/>
        </w:rPr>
        <w:t>drei</w:t>
      </w:r>
      <w:r>
        <w:rPr>
          <w:b w:val="0"/>
          <w:i w:val="0"/>
        </w:rPr>
        <w:t xml:space="preserve"> Argumente, jeweils beginnend mit „Ich sage das, weil …“.</w:t>
      </w:r>
    </w:p>
    <w:p>
      <w:pPr>
        <w:pStyle w:val="ListNumber"/>
        <w:spacing w:after="60"/>
        <w:numPr>
          <w:ilvl w:val="0"/>
          <w:numId w:val="13"/>
        </w:numPr>
      </w:pPr>
      <w:r>
        <w:rPr>
          <w:b w:val="0"/>
          <w:i w:val="0"/>
        </w:rPr>
        <w:t xml:space="preserve">Formuliert </w:t>
      </w:r>
      <w:r>
        <w:rPr>
          <w:b/>
          <w:i w:val="0"/>
        </w:rPr>
        <w:t>eine</w:t>
      </w:r>
      <w:r>
        <w:rPr>
          <w:b w:val="0"/>
          <w:i w:val="0"/>
        </w:rPr>
        <w:t xml:space="preserve"> Frage an eine andere Rolle.</w:t>
      </w:r>
    </w:p>
    <w:p>
      <w:pPr>
        <w:pStyle w:val="ListNumber"/>
        <w:spacing w:after="60"/>
        <w:numPr>
          <w:ilvl w:val="0"/>
          <w:numId w:val="13"/>
        </w:numPr>
      </w:pPr>
      <w:r>
        <w:rPr>
          <w:b w:val="0"/>
          <w:i w:val="0"/>
        </w:rPr>
        <w:t>Bereitet die Antwort auf die Frage der Moderation vor. Sie kommt sicher.</w:t>
      </w:r>
    </w:p>
    <w:p>
      <w:pPr>
        <w:pStyle w:val="ListNumber"/>
        <w:spacing w:after="60"/>
        <w:numPr>
          <w:ilvl w:val="0"/>
          <w:numId w:val="13"/>
        </w:numPr>
      </w:pPr>
      <w:r>
        <w:rPr>
          <w:b w:val="0"/>
          <w:i w:val="0"/>
        </w:rPr>
        <w:t>Bestimmt Sprecherin oder Sprecher und zwei Zettelschreiber.</w:t>
      </w:r>
    </w:p>
    <w:p>
      <w:pPr>
        <w:spacing w:before="200" w:after="120"/>
        <w:pBdr>
          <w:top w:val="single" w:sz="6" w:space="6" w:color="B7BEC7"/>
        </w:pBdr>
      </w:pPr>
      <w:r>
        <w:rPr>
          <w:rFonts w:ascii="Consolas" w:hAnsi="Consolas"/>
          <w:color w:val="4B5563"/>
          <w:sz w:val="19"/>
        </w:rPr>
        <w:t xml:space="preserve">Sprecher/in: </w:t>
      </w:r>
      <w:r>
        <w:rPr>
          <w:color w:val="6B7280"/>
          <w:sz w:val="19"/>
        </w:rPr>
        <w:t>____________________</w:t>
      </w:r>
      <w:r>
        <w:t xml:space="preserve">    </w:t>
      </w:r>
      <w:r>
        <w:rPr>
          <w:rFonts w:ascii="Consolas" w:hAnsi="Consolas"/>
          <w:color w:val="4B5563"/>
          <w:sz w:val="19"/>
        </w:rPr>
        <w:t xml:space="preserve">Team: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M11E · ROLLENKARTE · FÜR EIN ROLLENTEAM</w:t>
      </w:r>
    </w:p>
    <w:p>
      <w:pPr>
        <w:spacing w:before="160" w:after="160"/>
        <w:pBdr>
          <w:bottom w:val="single" w:sz="12" w:space="6" w:color="1E3A5F"/>
        </w:pBdr>
        <w:keepNext/>
      </w:pPr>
      <w:r>
        <w:rPr>
          <w:rFonts w:ascii="Consolas" w:hAnsi="Consolas"/>
          <w:b/>
          <w:color w:val="1E3A5F"/>
          <w:sz w:val="22"/>
        </w:rPr>
        <w:t>M11e · Rolle 5</w:t>
      </w:r>
      <w:r>
        <w:rPr>
          <w:rFonts w:ascii="Consolas" w:hAnsi="Consolas"/>
          <w:color w:val="6B7280"/>
          <w:sz w:val="18"/>
        </w:rPr>
        <w:t xml:space="preserve">   Talkrunde Ansbach, Juni 1934</w:t>
      </w:r>
    </w:p>
    <w:p>
      <w:pPr>
        <w:pStyle w:val="Heading2"/>
        <w:spacing w:after="160" w:before="200"/>
        <w:keepNext/>
      </w:pPr>
      <w:r>
        <w:rPr>
          <w:b w:val="0"/>
          <w:i w:val="0"/>
        </w:rPr>
        <w:t>Charlotte S., 24 Jahre, Vikarin</w:t>
      </w:r>
    </w:p>
    <w:p>
      <w:pPr>
        <w:pStyle w:val="Heading3"/>
        <w:spacing w:after="160" w:before="200"/>
        <w:keepNext/>
      </w:pPr>
      <w:r>
        <w:rPr>
          <w:b w:val="0"/>
          <w:i w:val="0"/>
        </w:rPr>
        <w:t>Wer du bist</w:t>
      </w:r>
    </w:p>
    <w:p>
      <w:pPr>
        <w:spacing w:after="120"/>
      </w:pPr>
      <w:r>
        <w:rPr>
          <w:b w:val="0"/>
          <w:i w:val="0"/>
        </w:rPr>
        <w:t>Du hast Theologie studiert und stehst kurz vor dem Ende deiner Ausbildung. Dein Großvater war Jude, du selbst bist getauft und in der Kirche aufgewachsen. Seit der Arierparagraph auch in der Kirche gilt, bist du vom Dienst suspendiert. Du sitzt in dieser Runde, weil dich jemand eingeladen hat — die meisten Debatten dieser Monate fanden ohne Menschen wie dich statt.</w:t>
      </w:r>
    </w:p>
    <w:p>
      <w:pPr>
        <w:pStyle w:val="Heading3"/>
        <w:spacing w:after="160" w:before="200"/>
        <w:keepNext/>
      </w:pPr>
      <w:r>
        <w:rPr>
          <w:b w:val="0"/>
          <w:i w:val="0"/>
        </w:rPr>
        <w:t>Dein Kernsatz</w:t>
      </w:r>
    </w:p>
    <w:p>
      <w:pPr>
        <w:spacing w:after="120"/>
      </w:pPr>
      <w:r>
        <w:rPr>
          <w:b w:val="0"/>
          <w:i w:val="0"/>
        </w:rPr>
        <w:t>Sie streiten über Lehrsätze. Ich streite um meinen Beruf und, wenn das so weitergeht, um mein Leben.</w:t>
      </w:r>
    </w:p>
    <w:p>
      <w:pPr>
        <w:pStyle w:val="Heading3"/>
        <w:spacing w:after="160" w:before="200"/>
        <w:keepNext/>
      </w:pPr>
      <w:r>
        <w:rPr>
          <w:b w:val="0"/>
          <w:i w:val="0"/>
        </w:rPr>
        <w:t>Deine Argumente</w:t>
      </w:r>
    </w:p>
    <w:p>
      <w:pPr>
        <w:pStyle w:val="ListBullet"/>
        <w:spacing w:after="60"/>
      </w:pPr>
      <w:r>
        <w:rPr>
          <w:b w:val="0"/>
          <w:i w:val="0"/>
        </w:rPr>
        <w:t>Ich bin getauft. Wenn die Taufe zählt, kann meine Großmutter nicht zählen. Beides zusammen geht nicht.</w:t>
      </w:r>
    </w:p>
    <w:p>
      <w:pPr>
        <w:pStyle w:val="ListBullet"/>
        <w:spacing w:after="60"/>
      </w:pPr>
      <w:r>
        <w:rPr>
          <w:b w:val="0"/>
          <w:i w:val="0"/>
        </w:rPr>
        <w:t>Herr Landesbischof, Ihre intakte Kirche — was genau nützt sie mir?</w:t>
      </w:r>
    </w:p>
    <w:p>
      <w:pPr>
        <w:pStyle w:val="ListBullet"/>
        <w:spacing w:after="60"/>
      </w:pPr>
      <w:r>
        <w:rPr>
          <w:b w:val="0"/>
          <w:i w:val="0"/>
        </w:rPr>
        <w:t>In Ihrem großartigen Text aus Barmen, Herr Barth: Wo komme ich darin eigentlich vor?</w:t>
      </w:r>
    </w:p>
    <w:p>
      <w:pPr>
        <w:pStyle w:val="Heading3"/>
        <w:spacing w:after="160" w:before="200"/>
        <w:keepNext/>
      </w:pPr>
      <w:r>
        <w:rPr>
          <w:b w:val="0"/>
          <w:i w:val="0"/>
        </w:rPr>
        <w:t>Deine schwierige Lage in der Runde</w:t>
      </w:r>
    </w:p>
    <w:p>
      <w:pPr>
        <w:spacing w:after="120"/>
      </w:pPr>
      <w:r>
        <w:rPr>
          <w:b w:val="0"/>
          <w:i w:val="0"/>
        </w:rPr>
        <w:t xml:space="preserve">Vier Männer mit Titeln reden über Theologie. Du hast keinen Titel. Du wirst leicht übergangen — deshalb: </w:t>
      </w:r>
      <w:r>
        <w:rPr>
          <w:b/>
          <w:i w:val="0"/>
        </w:rPr>
        <w:t>Melde dich früh und rede kurz.</w:t>
      </w:r>
      <w:r>
        <w:rPr>
          <w:b w:val="0"/>
          <w:i w:val="0"/>
        </w:rPr>
        <w:t xml:space="preserve"> Ein Satz, der sitzt, ist stärker als drei Argumente. Und wenn dich jemand unterbricht, sag es laut.</w:t>
      </w:r>
    </w:p>
    <w:p>
      <w:pPr>
        <w:spacing w:after="120"/>
      </w:pPr>
      <w:r>
        <w:rPr>
          <w:b w:val="0"/>
          <w:i/>
        </w:rPr>
        <w:t>Zur Rolle: Charlotte S. ist eine zusammengesetzte Figur nach realen Biografien, unter anderem nach Elisabeth Schmitz, die 1935 eine der schärfsten kirchlichen Anklagen gegen die Judenverfolgung verfasst hat. Ihr begegnet sie in der nächsten Doppelstunde wieder.</w:t>
      </w:r>
    </w:p>
    <w:p>
      <w:pPr>
        <w:spacing w:after="40"/>
        <w:shd w:val="clear" w:color="auto" w:fill="E5ECF4"/>
        <w:keepNext/>
      </w:pPr>
      <w:r>
        <w:rPr>
          <w:rFonts w:ascii="Consolas" w:hAnsi="Consolas"/>
          <w:b/>
          <w:color w:val="1E3A5F"/>
          <w:sz w:val="18"/>
        </w:rPr>
        <w:t>VORBEREITUNG IM TEAM · 20 MINUTEN</w:t>
      </w:r>
    </w:p>
    <w:p>
      <w:pPr>
        <w:pStyle w:val="ListNumber"/>
        <w:spacing w:after="60"/>
        <w:numPr>
          <w:ilvl w:val="0"/>
          <w:numId w:val="14"/>
        </w:numPr>
      </w:pPr>
      <w:r>
        <w:rPr>
          <w:b w:val="0"/>
          <w:i w:val="0"/>
        </w:rPr>
        <w:t>Lest die Karte zweimal.</w:t>
      </w:r>
    </w:p>
    <w:p>
      <w:pPr>
        <w:pStyle w:val="ListNumber"/>
        <w:spacing w:after="60"/>
        <w:numPr>
          <w:ilvl w:val="0"/>
          <w:numId w:val="14"/>
        </w:numPr>
      </w:pPr>
      <w:r>
        <w:rPr>
          <w:b w:val="0"/>
          <w:i w:val="0"/>
        </w:rPr>
        <w:t xml:space="preserve">Formuliert </w:t>
      </w:r>
      <w:r>
        <w:rPr>
          <w:b/>
          <w:i w:val="0"/>
        </w:rPr>
        <w:t>drei</w:t>
      </w:r>
      <w:r>
        <w:rPr>
          <w:b w:val="0"/>
          <w:i w:val="0"/>
        </w:rPr>
        <w:t xml:space="preserve"> kurze, harte Sätze. Keine langen Begründungen — eure Stärke ist, dass ihr die Einzigen seid, um die es wirklich geht.</w:t>
      </w:r>
    </w:p>
    <w:p>
      <w:pPr>
        <w:pStyle w:val="ListNumber"/>
        <w:spacing w:after="60"/>
        <w:numPr>
          <w:ilvl w:val="0"/>
          <w:numId w:val="14"/>
        </w:numPr>
      </w:pPr>
      <w:r>
        <w:rPr>
          <w:b w:val="0"/>
          <w:i w:val="0"/>
        </w:rPr>
        <w:t xml:space="preserve">Formuliert je </w:t>
      </w:r>
      <w:r>
        <w:rPr>
          <w:b/>
          <w:i w:val="0"/>
        </w:rPr>
        <w:t>eine</w:t>
      </w:r>
      <w:r>
        <w:rPr>
          <w:b w:val="0"/>
          <w:i w:val="0"/>
        </w:rPr>
        <w:t xml:space="preserve"> Frage an Barth, an Althaus und an Meiser.</w:t>
      </w:r>
    </w:p>
    <w:p>
      <w:pPr>
        <w:pStyle w:val="ListNumber"/>
        <w:spacing w:after="60"/>
        <w:numPr>
          <w:ilvl w:val="0"/>
          <w:numId w:val="14"/>
        </w:numPr>
      </w:pPr>
      <w:r>
        <w:rPr>
          <w:b w:val="0"/>
          <w:i w:val="0"/>
        </w:rPr>
        <w:t>Legt fest, an welcher Stelle ihr euch das erste Mal meldet — und wartet nicht länger.</w:t>
      </w:r>
    </w:p>
    <w:p>
      <w:pPr>
        <w:pStyle w:val="ListNumber"/>
        <w:spacing w:after="60"/>
        <w:numPr>
          <w:ilvl w:val="0"/>
          <w:numId w:val="14"/>
        </w:numPr>
      </w:pPr>
      <w:r>
        <w:rPr>
          <w:b w:val="0"/>
          <w:i w:val="0"/>
        </w:rPr>
        <w:t>Bestimmt Sprecherin oder Sprecher und zwei Zettelschreiber.</w:t>
      </w:r>
    </w:p>
    <w:p>
      <w:pPr>
        <w:spacing w:before="200" w:after="120"/>
        <w:pBdr>
          <w:top w:val="single" w:sz="6" w:space="6" w:color="B7BEC7"/>
        </w:pBdr>
      </w:pPr>
      <w:r>
        <w:rPr>
          <w:rFonts w:ascii="Consolas" w:hAnsi="Consolas"/>
          <w:color w:val="4B5563"/>
          <w:sz w:val="19"/>
        </w:rPr>
        <w:t xml:space="preserve">Sprecher/in: </w:t>
      </w:r>
      <w:r>
        <w:rPr>
          <w:color w:val="6B7280"/>
          <w:sz w:val="19"/>
        </w:rPr>
        <w:t>____________________</w:t>
      </w:r>
      <w:r>
        <w:t xml:space="preserve">    </w:t>
      </w:r>
      <w:r>
        <w:rPr>
          <w:rFonts w:ascii="Consolas" w:hAnsi="Consolas"/>
          <w:color w:val="4B5563"/>
          <w:sz w:val="19"/>
        </w:rPr>
        <w:t xml:space="preserve">Team: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M12 · MODERATIONSBOGEN</w:t>
      </w:r>
    </w:p>
    <w:p>
      <w:pPr>
        <w:spacing w:before="160" w:after="160"/>
        <w:pBdr>
          <w:bottom w:val="single" w:sz="12" w:space="6" w:color="1E3A5F"/>
        </w:pBdr>
        <w:keepNext/>
      </w:pPr>
      <w:r>
        <w:rPr>
          <w:rFonts w:ascii="Consolas" w:hAnsi="Consolas"/>
          <w:b/>
          <w:color w:val="1E3A5F"/>
          <w:sz w:val="22"/>
        </w:rPr>
        <w:t>M12</w:t>
      </w:r>
      <w:r>
        <w:rPr>
          <w:rFonts w:ascii="Consolas" w:hAnsi="Consolas"/>
          <w:color w:val="6B7280"/>
          <w:sz w:val="18"/>
        </w:rPr>
        <w:t xml:space="preserve">   „Streit am Sonntagabend“ · Ansbach, Juni 1934</w:t>
      </w:r>
    </w:p>
    <w:p>
      <w:pPr>
        <w:pStyle w:val="Heading2"/>
        <w:spacing w:after="160" w:before="200"/>
        <w:keepNext/>
      </w:pPr>
      <w:r>
        <w:rPr>
          <w:b w:val="0"/>
          <w:i w:val="0"/>
        </w:rPr>
        <w:t>Ablauf und Pflichtfragen</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5ECF4"/>
            <w:vAlign w:val="top"/>
          </w:tcPr>
          <w:p>
            <w:pPr>
              <w:spacing w:after="40"/>
            </w:pPr>
            <w:r>
              <w:rPr>
                <w:b/>
                <w:i w:val="0"/>
                <w:color w:val="1E3A5F"/>
                <w:sz w:val="20"/>
              </w:rPr>
              <w:t>Dauer</w:t>
            </w:r>
          </w:p>
        </w:tc>
        <w:tc>
          <w:tcPr>
            <w:tcW w:type="dxa" w:w="3213"/>
            <w:shd w:val="clear" w:color="auto" w:fill="E5ECF4"/>
            <w:vAlign w:val="top"/>
          </w:tcPr>
          <w:p>
            <w:pPr>
              <w:spacing w:after="40"/>
            </w:pPr>
            <w:r>
              <w:rPr>
                <w:b/>
                <w:i w:val="0"/>
                <w:color w:val="1E3A5F"/>
                <w:sz w:val="20"/>
              </w:rPr>
              <w:t>Teil</w:t>
            </w:r>
          </w:p>
        </w:tc>
        <w:tc>
          <w:tcPr>
            <w:tcW w:type="dxa" w:w="3213"/>
            <w:shd w:val="clear" w:color="auto" w:fill="E5ECF4"/>
            <w:vAlign w:val="top"/>
          </w:tcPr>
          <w:p>
            <w:pPr>
              <w:spacing w:after="40"/>
            </w:pPr>
            <w:r>
              <w:rPr>
                <w:b/>
                <w:i w:val="0"/>
                <w:color w:val="1E3A5F"/>
                <w:sz w:val="20"/>
              </w:rPr>
              <w:t>Regie</w:t>
            </w:r>
          </w:p>
        </w:tc>
      </w:tr>
      <w:tr>
        <w:tc>
          <w:tcPr>
            <w:tcW w:type="dxa" w:w="3213"/>
            <w:vAlign w:val="top"/>
          </w:tcPr>
          <w:p>
            <w:pPr>
              <w:spacing w:after="40"/>
            </w:pPr>
            <w:r>
              <w:rPr>
                <w:b w:val="0"/>
                <w:i w:val="0"/>
                <w:sz w:val="20"/>
              </w:rPr>
              <w:t>5 min</w:t>
            </w:r>
          </w:p>
        </w:tc>
        <w:tc>
          <w:tcPr>
            <w:tcW w:type="dxa" w:w="3213"/>
            <w:vAlign w:val="top"/>
          </w:tcPr>
          <w:p>
            <w:pPr>
              <w:spacing w:after="40"/>
            </w:pPr>
            <w:r>
              <w:rPr>
                <w:b w:val="0"/>
                <w:i w:val="0"/>
                <w:sz w:val="20"/>
              </w:rPr>
              <w:t>Eröffnung</w:t>
            </w:r>
          </w:p>
        </w:tc>
        <w:tc>
          <w:tcPr>
            <w:tcW w:type="dxa" w:w="3213"/>
            <w:vAlign w:val="top"/>
          </w:tcPr>
          <w:p>
            <w:pPr>
              <w:spacing w:after="40"/>
            </w:pPr>
            <w:r>
              <w:rPr>
                <w:b w:val="0"/>
                <w:i w:val="0"/>
                <w:sz w:val="20"/>
              </w:rPr>
              <w:t>Jede Rolle 60 Sekunden Statement. Reihenfolge: Wagner, Althaus, Barth, Meiser, Charlotte S.</w:t>
            </w:r>
          </w:p>
        </w:tc>
      </w:tr>
      <w:tr>
        <w:tc>
          <w:tcPr>
            <w:tcW w:type="dxa" w:w="3213"/>
            <w:vAlign w:val="top"/>
          </w:tcPr>
          <w:p>
            <w:pPr>
              <w:spacing w:after="40"/>
            </w:pPr>
            <w:r>
              <w:rPr>
                <w:b w:val="0"/>
                <w:i w:val="0"/>
                <w:sz w:val="20"/>
              </w:rPr>
              <w:t>10 min</w:t>
            </w:r>
          </w:p>
        </w:tc>
        <w:tc>
          <w:tcPr>
            <w:tcW w:type="dxa" w:w="3213"/>
            <w:vAlign w:val="top"/>
          </w:tcPr>
          <w:p>
            <w:pPr>
              <w:spacing w:after="40"/>
            </w:pPr>
            <w:r>
              <w:rPr>
                <w:b w:val="0"/>
                <w:i w:val="0"/>
                <w:sz w:val="20"/>
              </w:rPr>
              <w:t>Freie Runde</w:t>
            </w:r>
          </w:p>
        </w:tc>
        <w:tc>
          <w:tcPr>
            <w:tcW w:type="dxa" w:w="3213"/>
            <w:vAlign w:val="top"/>
          </w:tcPr>
          <w:p>
            <w:pPr>
              <w:spacing w:after="40"/>
            </w:pPr>
            <w:r>
              <w:rPr>
                <w:b w:val="0"/>
                <w:i w:val="0"/>
                <w:sz w:val="20"/>
              </w:rPr>
              <w:t>Moderation greift nur ein, wenn jemand nicht zu Wort kommt. Die drei Pflichtfragen unten einstreuen.</w:t>
            </w:r>
          </w:p>
        </w:tc>
      </w:tr>
      <w:tr>
        <w:tc>
          <w:tcPr>
            <w:tcW w:type="dxa" w:w="3213"/>
            <w:vAlign w:val="top"/>
          </w:tcPr>
          <w:p>
            <w:pPr>
              <w:spacing w:after="40"/>
            </w:pPr>
            <w:r>
              <w:rPr>
                <w:b w:val="0"/>
                <w:i w:val="0"/>
                <w:sz w:val="20"/>
              </w:rPr>
              <w:t>4 min</w:t>
            </w:r>
          </w:p>
        </w:tc>
        <w:tc>
          <w:tcPr>
            <w:tcW w:type="dxa" w:w="3213"/>
            <w:vAlign w:val="top"/>
          </w:tcPr>
          <w:p>
            <w:pPr>
              <w:spacing w:after="40"/>
            </w:pPr>
            <w:r>
              <w:rPr>
                <w:b w:val="0"/>
                <w:i w:val="0"/>
                <w:sz w:val="20"/>
              </w:rPr>
              <w:t>Publikumsfrage</w:t>
            </w:r>
          </w:p>
        </w:tc>
        <w:tc>
          <w:tcPr>
            <w:tcW w:type="dxa" w:w="3213"/>
            <w:vAlign w:val="top"/>
          </w:tcPr>
          <w:p>
            <w:pPr>
              <w:spacing w:after="40"/>
            </w:pPr>
            <w:r>
              <w:rPr>
                <w:b w:val="0"/>
                <w:i w:val="0"/>
                <w:sz w:val="20"/>
              </w:rPr>
              <w:t>Eine Frage aus dem Halbkreis, von der Moderation ausgewählt.</w:t>
            </w:r>
          </w:p>
        </w:tc>
      </w:tr>
      <w:tr>
        <w:tc>
          <w:tcPr>
            <w:tcW w:type="dxa" w:w="3213"/>
            <w:vAlign w:val="top"/>
          </w:tcPr>
          <w:p>
            <w:pPr>
              <w:spacing w:after="40"/>
            </w:pPr>
            <w:r>
              <w:rPr>
                <w:b w:val="0"/>
                <w:i w:val="0"/>
                <w:sz w:val="20"/>
              </w:rPr>
              <w:t>3 min</w:t>
            </w:r>
          </w:p>
        </w:tc>
        <w:tc>
          <w:tcPr>
            <w:tcW w:type="dxa" w:w="3213"/>
            <w:vAlign w:val="top"/>
          </w:tcPr>
          <w:p>
            <w:pPr>
              <w:spacing w:after="40"/>
            </w:pPr>
            <w:r>
              <w:rPr>
                <w:b w:val="0"/>
                <w:i w:val="0"/>
                <w:sz w:val="20"/>
              </w:rPr>
              <w:t>Schlusswort</w:t>
            </w:r>
          </w:p>
        </w:tc>
        <w:tc>
          <w:tcPr>
            <w:tcW w:type="dxa" w:w="3213"/>
            <w:vAlign w:val="top"/>
          </w:tcPr>
          <w:p>
            <w:pPr>
              <w:spacing w:after="40"/>
            </w:pPr>
            <w:r>
              <w:rPr>
                <w:b w:val="0"/>
                <w:i w:val="0"/>
                <w:sz w:val="20"/>
              </w:rPr>
              <w:t>Je 30 Sekunden. Charlotte S. spricht zuletzt.</w:t>
            </w:r>
          </w:p>
        </w:tc>
      </w:tr>
    </w:tbl>
    <w:p>
      <w:pPr>
        <w:spacing w:before="40" w:after="160"/>
      </w:pPr>
    </w:p>
    <w:p>
      <w:pPr>
        <w:spacing w:after="40"/>
        <w:shd w:val="clear" w:color="auto" w:fill="E5ECF4"/>
        <w:keepNext/>
      </w:pPr>
      <w:r>
        <w:rPr>
          <w:rFonts w:ascii="Consolas" w:hAnsi="Consolas"/>
          <w:b/>
          <w:color w:val="1E3A5F"/>
          <w:sz w:val="18"/>
        </w:rPr>
        <w:t>DIE DREI PFLICHTFRAGEN — JEDE MUSS GESTELLT WERDEN</w:t>
      </w:r>
    </w:p>
    <w:p>
      <w:pPr>
        <w:pStyle w:val="ListNumber"/>
        <w:spacing w:after="60"/>
        <w:numPr>
          <w:ilvl w:val="0"/>
          <w:numId w:val="15"/>
        </w:numPr>
      </w:pPr>
      <w:r>
        <w:rPr>
          <w:b w:val="0"/>
          <w:i w:val="0"/>
        </w:rPr>
        <w:t>„Herr Barth, Sie sagen: nur Christus. Heißt das, ein Christ darf sich um sein Vaterland nicht kümmern?“</w:t>
      </w:r>
    </w:p>
    <w:p>
      <w:pPr>
        <w:pStyle w:val="ListNumber"/>
        <w:spacing w:after="60"/>
        <w:numPr>
          <w:ilvl w:val="0"/>
          <w:numId w:val="15"/>
        </w:numPr>
      </w:pPr>
      <w:r>
        <w:rPr>
          <w:b w:val="0"/>
          <w:i w:val="0"/>
        </w:rPr>
        <w:t>„Herr Professor Althaus, wenn Volk und Rasse Ordnungen Gottes sind — gilt Ihr Satz auch dann, wenn dieser Staat Menschen aus der Kirche wirft?“</w:t>
      </w:r>
    </w:p>
    <w:p>
      <w:pPr>
        <w:pStyle w:val="ListNumber"/>
        <w:spacing w:after="60"/>
        <w:numPr>
          <w:ilvl w:val="0"/>
          <w:numId w:val="15"/>
        </w:numPr>
      </w:pPr>
      <w:r>
        <w:rPr>
          <w:b w:val="0"/>
          <w:i w:val="0"/>
        </w:rPr>
        <w:t>„Herr Landesbischof, Sie haben beide Texte gelesen und keinen von beiden unterschrieben. Wie lange kann man das durchhalten?“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ZWEI REGELN, DIE LAUT ANGESAGT WERDEN</w:t>
            </w:r>
          </w:p>
          <w:p>
            <w:pPr>
              <w:spacing w:after="80"/>
            </w:pPr>
            <w:r>
              <w:rPr>
                <w:b w:val="0"/>
                <w:i w:val="0"/>
              </w:rPr>
              <w:t>Erstens: Angegriffen werden Positionen, nie Personen. Zweitens: Auf „Stopp“ frieren alle ein — dann berichten die Beobachter, was gerade passiert ist.</w:t>
            </w:r>
          </w:p>
        </w:tc>
      </w:tr>
    </w:tbl>
    <w:p>
      <w:pPr>
        <w:spacing w:after="120"/>
      </w:pPr>
    </w:p>
    <w:p>
      <w:r>
        <w:br w:type="page"/>
      </w:r>
    </w:p>
    <w:p>
      <w:pPr>
        <w:spacing w:after="40"/>
        <w:keepNext/>
      </w:pPr>
      <w:r>
        <w:rPr>
          <w:rFonts w:ascii="Consolas" w:hAnsi="Consolas"/>
          <w:b/>
          <w:color w:val="1E3A5F"/>
          <w:sz w:val="18"/>
        </w:rPr>
        <w:t>KOPIERVORLAGE · ZWEI PRO ROLLE</w:t>
      </w:r>
    </w:p>
    <w:p>
      <w:pPr>
        <w:spacing w:before="160" w:after="160"/>
        <w:pBdr>
          <w:bottom w:val="single" w:sz="12" w:space="6" w:color="1E3A5F"/>
        </w:pBdr>
        <w:keepNext/>
      </w:pPr>
      <w:r>
        <w:rPr>
          <w:rFonts w:ascii="Consolas" w:hAnsi="Consolas"/>
          <w:b/>
          <w:color w:val="1E3A5F"/>
          <w:sz w:val="22"/>
        </w:rPr>
        <w:t>Beobachtungsbogen</w:t>
      </w:r>
      <w:r>
        <w:rPr>
          <w:rFonts w:ascii="Consolas" w:hAnsi="Consolas"/>
          <w:color w:val="6B7280"/>
          <w:sz w:val="18"/>
        </w:rPr>
        <w:t xml:space="preserve">   Talkrunde · Doppelstunde 3</w:t>
      </w:r>
    </w:p>
    <w:p>
      <w:pPr>
        <w:pStyle w:val="Heading2"/>
        <w:spacing w:after="160" w:before="200"/>
        <w:keepNext/>
      </w:pPr>
      <w:r>
        <w:rPr>
          <w:b w:val="0"/>
          <w:i w:val="0"/>
        </w:rPr>
        <w:t>Ich beobachte: ____________________________________</w:t>
      </w:r>
    </w:p>
    <w:p>
      <w:pPr>
        <w:spacing w:after="40"/>
        <w:shd w:val="clear" w:color="auto" w:fill="E5ECF4"/>
        <w:keepNext/>
      </w:pPr>
      <w:r>
        <w:rPr>
          <w:rFonts w:ascii="Consolas" w:hAnsi="Consolas"/>
          <w:b/>
          <w:color w:val="1E3A5F"/>
          <w:sz w:val="18"/>
        </w:rPr>
        <w:t>AUFTRAG</w:t>
      </w:r>
    </w:p>
    <w:p>
      <w:pPr>
        <w:pStyle w:val="ListBullet"/>
        <w:spacing w:after="60"/>
      </w:pPr>
      <w:r>
        <w:rPr>
          <w:b w:val="0"/>
          <w:i w:val="0"/>
        </w:rPr>
        <w:t>Du redest während der Runde nicht. Du schreibst mit — und zwar wörtlich, wo es geht.</w:t>
      </w:r>
    </w:p>
    <w:p>
      <w:pPr>
        <w:pStyle w:val="ListBullet"/>
        <w:spacing w:after="60"/>
      </w:pPr>
      <w:r>
        <w:rPr>
          <w:b w:val="0"/>
          <w:i w:val="0"/>
        </w:rPr>
        <w:t>Achte besonders auf die dritte Spalte. Sie ist die schwierigste und die wichtigste.</w:t>
      </w:r>
    </w:p>
    <w:tbl>
      <w:tblPr>
        <w:tblStyle w:val="TableGrid"/>
        <w:tblW w:type="auto" w:w="0"/>
        <w:tblLayout w:type="fixed"/>
        <w:tblLook w:firstColumn="1" w:firstRow="1" w:lastColumn="0" w:lastRow="0" w:noHBand="0" w:noVBand="1" w:val="04A0"/>
      </w:tblPr>
      <w:tblGrid>
        <w:gridCol w:w="4819"/>
        <w:gridCol w:w="4819"/>
      </w:tblGrid>
      <w:tr>
        <w:trPr>
          <w:trHeight w:val="1927" w:hRule="atLeast"/>
        </w:trPr>
        <w:tc>
          <w:tcPr>
            <w:tcW w:type="dxa" w:w="1587"/>
            <w:shd w:val="clear" w:color="auto" w:fill="EFF1F4"/>
            <w:vAlign w:val="top"/>
          </w:tcPr>
          <w:p>
            <w:pPr>
              <w:spacing w:after="40"/>
            </w:pPr>
            <w:r>
              <w:rPr>
                <w:b/>
                <w:i w:val="0"/>
                <w:color w:val="4B5563"/>
                <w:sz w:val="20"/>
              </w:rPr>
              <w:t>Stärkstes Argument</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Hier wurde ausgewichen</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Klang freundlich, war aber gefährlich</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Wer kam zu kurz?</w:t>
            </w:r>
          </w:p>
        </w:tc>
        <w:tc>
          <w:tcPr>
            <w:tcW w:type="dxa" w:w="8050"/>
            <w:vAlign w:val="top"/>
          </w:tcPr>
          <w:p>
            <w:pPr>
              <w:spacing w:after="40"/>
            </w:pPr>
          </w:p>
        </w:tc>
      </w:tr>
    </w:tbl>
    <w:p>
      <w:pPr>
        <w:spacing w:before="40" w:after="160"/>
      </w:pPr>
    </w:p>
    <w:p>
      <w:pPr>
        <w:spacing w:before="200" w:after="120"/>
        <w:pBdr>
          <w:top w:val="single" w:sz="6" w:space="6" w:color="B7BEC7"/>
        </w:pBdr>
      </w:pPr>
      <w:r>
        <w:rPr>
          <w:rFonts w:ascii="Consolas" w:hAnsi="Consolas"/>
          <w:color w:val="4B5563"/>
          <w:sz w:val="19"/>
        </w:rPr>
        <w:t xml:space="preserve">Name: </w:t>
      </w:r>
      <w:r>
        <w:rPr>
          <w:color w:val="6B7280"/>
          <w:sz w:val="19"/>
        </w:rPr>
        <w:t>____________________</w:t>
      </w:r>
      <w:r>
        <w:t xml:space="preserve">    </w:t>
      </w:r>
      <w:r>
        <w:rPr>
          <w:rFonts w:ascii="Consolas" w:hAnsi="Consolas"/>
          <w:color w:val="4B5563"/>
          <w:sz w:val="19"/>
        </w:rPr>
        <w:t xml:space="preserve">Klasse: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M13 · KOPIERVORLAGE · KLASSENSATZ</w:t>
      </w:r>
    </w:p>
    <w:p>
      <w:pPr>
        <w:spacing w:before="160" w:after="160"/>
        <w:pBdr>
          <w:bottom w:val="single" w:sz="12" w:space="6" w:color="1E3A5F"/>
        </w:pBdr>
        <w:keepNext/>
      </w:pPr>
      <w:r>
        <w:rPr>
          <w:rFonts w:ascii="Consolas" w:hAnsi="Consolas"/>
          <w:b/>
          <w:color w:val="1E3A5F"/>
          <w:sz w:val="22"/>
        </w:rPr>
        <w:t>M13</w:t>
      </w:r>
      <w:r>
        <w:rPr>
          <w:rFonts w:ascii="Consolas" w:hAnsi="Consolas"/>
          <w:color w:val="6B7280"/>
          <w:sz w:val="18"/>
        </w:rPr>
        <w:t xml:space="preserve">   Barmer Theologische Erklärung · 31. Mai 1934</w:t>
      </w:r>
    </w:p>
    <w:p>
      <w:pPr>
        <w:pStyle w:val="Heading2"/>
        <w:spacing w:after="160" w:before="200"/>
        <w:keepNext/>
      </w:pPr>
      <w:r>
        <w:rPr>
          <w:b w:val="0"/>
          <w:i w:val="0"/>
        </w:rPr>
        <w:t>Zwei Thesen im Wortlaut</w:t>
      </w:r>
    </w:p>
    <w:p>
      <w:pPr>
        <w:pStyle w:val="Heading3"/>
        <w:spacing w:after="160" w:before="200"/>
        <w:keepNext/>
      </w:pPr>
      <w:r>
        <w:rPr>
          <w:b w:val="0"/>
          <w:i w:val="0"/>
        </w:rPr>
        <w:t>These 1</w:t>
      </w:r>
    </w:p>
    <w:p>
      <w:pPr>
        <w:spacing w:after="120"/>
      </w:pPr>
      <w:r>
        <w:rPr>
          <w:b w:val="0"/>
          <w:i w:val="0"/>
        </w:rPr>
        <w:t>„Ich bin der Weg und die Wahrheit und das Leben; niemand kommt zum Vater denn durch mich.“ (Joh 14,6)</w:t>
      </w:r>
    </w:p>
    <w:p>
      <w:pPr>
        <w:spacing w:after="120"/>
      </w:pPr>
      <w:r>
        <w:rPr>
          <w:b w:val="0"/>
          <w:i w:val="0"/>
        </w:rPr>
        <w:t>Jesus Christus, wie er uns in der Heiligen Schrift bezeugt wird, ist das eine Wort Gottes, das wir zu hören, dem wir im Leben und im Sterben zu vertrauen und zu gehorchen haben.</w:t>
        <w:br/>
        <w:br/>
      </w:r>
      <w:r>
        <w:rPr>
          <w:b w:val="0"/>
          <w:i w:val="0"/>
        </w:rPr>
        <w:t xml:space="preserve"> Wir verwerfen die falsche Lehre, als könne und müsse die Kirche als Quelle ihrer Verkündigung außer und neben diesem einen Worte Gottes auch noch andere Ereignisse und Mächte, Gestalten und Wahrheiten als Gottes Offenbarung anerkennen.</w:t>
      </w:r>
    </w:p>
    <w:p>
      <w:pPr>
        <w:pStyle w:val="Heading3"/>
        <w:spacing w:after="160" w:before="200"/>
        <w:keepNext/>
      </w:pPr>
      <w:r>
        <w:rPr>
          <w:b w:val="0"/>
          <w:i w:val="0"/>
        </w:rPr>
        <w:t>These 5 — sie wird in Doppelstunde 6 wieder gebraucht</w:t>
      </w:r>
    </w:p>
    <w:p>
      <w:pPr>
        <w:spacing w:after="120"/>
      </w:pPr>
      <w:r>
        <w:rPr>
          <w:b w:val="0"/>
          <w:i w:val="0"/>
        </w:rPr>
        <w:t>Die Schrift sagt uns, dass der Staat nach göttlicher Anordnung die Aufgabe hat, in der noch nicht erlösten Welt … für Recht und Frieden zu sorgen.</w:t>
        <w:br/>
        <w:br/>
      </w:r>
      <w:r>
        <w:rPr>
          <w:b w:val="0"/>
          <w:i w:val="0"/>
        </w:rPr>
        <w:t xml:space="preserve"> Wir verwerfen die falsche Lehre, als solle und könne der Staat über seinen besonderen Auftrag hinaus die einzige und totale Ordnung menschlichen Lebens werden und also auch die Bestimmung der Kirche erfüllen.</w:t>
      </w:r>
    </w:p>
    <w:p>
      <w:pPr>
        <w:spacing w:after="40"/>
        <w:shd w:val="clear" w:color="auto" w:fill="E5ECF4"/>
        <w:keepNext/>
      </w:pPr>
      <w:r>
        <w:rPr>
          <w:rFonts w:ascii="Consolas" w:hAnsi="Consolas"/>
          <w:b/>
          <w:color w:val="1E3A5F"/>
          <w:sz w:val="18"/>
        </w:rPr>
        <w:t>ARBEITSAUFTRAG · PARTNERARBEIT, 14 MINUTEN</w:t>
      </w:r>
    </w:p>
    <w:p>
      <w:pPr>
        <w:pStyle w:val="ListNumber"/>
        <w:spacing w:after="60"/>
        <w:numPr>
          <w:ilvl w:val="0"/>
          <w:numId w:val="16"/>
        </w:numPr>
      </w:pPr>
      <w:r>
        <w:rPr>
          <w:b w:val="0"/>
          <w:i w:val="0"/>
        </w:rPr>
        <w:t>Lest These 1 laut vor — einmal ganz, ohne zu stocken.</w:t>
      </w:r>
    </w:p>
    <w:p>
      <w:pPr>
        <w:pStyle w:val="ListNumber"/>
        <w:spacing w:after="60"/>
        <w:numPr>
          <w:ilvl w:val="0"/>
          <w:numId w:val="16"/>
        </w:numPr>
      </w:pPr>
      <w:r>
        <w:rPr>
          <w:b w:val="0"/>
          <w:i w:val="0"/>
        </w:rPr>
        <w:t xml:space="preserve">Übersetzt sie in </w:t>
      </w:r>
      <w:r>
        <w:rPr>
          <w:b/>
          <w:i w:val="0"/>
        </w:rPr>
        <w:t>höchstens 25 Wörter</w:t>
      </w:r>
      <w:r>
        <w:rPr>
          <w:b w:val="0"/>
          <w:i w:val="0"/>
        </w:rPr>
        <w:t xml:space="preserve"> heutiger Alltagssprache. Kein Wort aus dem Original darf übernommen werden außer „Gott“ und „Jesus Christus“.</w:t>
      </w:r>
    </w:p>
    <w:p>
      <w:pPr>
        <w:pStyle w:val="ListNumber"/>
        <w:spacing w:after="60"/>
        <w:numPr>
          <w:ilvl w:val="0"/>
          <w:numId w:val="16"/>
        </w:numPr>
      </w:pPr>
      <w:r>
        <w:rPr>
          <w:b w:val="0"/>
          <w:i w:val="0"/>
        </w:rPr>
        <w:t>Der zweite Teil jeder These beginnt mit „Wir verwerfen die falsche Lehre, als ob …“. Schreibt euren eigenen Verwerfungssatz für das Jahr 1934.</w:t>
      </w:r>
    </w:p>
    <w:p>
      <w:pPr>
        <w:pStyle w:val="ListNumber"/>
        <w:spacing w:after="60"/>
        <w:numPr>
          <w:ilvl w:val="0"/>
          <w:numId w:val="16"/>
        </w:numPr>
      </w:pPr>
      <w:r>
        <w:rPr>
          <w:b w:val="0"/>
          <w:i w:val="0"/>
        </w:rPr>
        <w:t>Haltet fest: Wem tut dieser Satz weh? Nennt zwei Gruppen.</w:t>
      </w:r>
    </w:p>
    <w:tbl>
      <w:tblPr>
        <w:tblStyle w:val="TableGrid"/>
        <w:tblW w:type="auto" w:w="0"/>
        <w:tblLayout w:type="fixed"/>
        <w:tblLook w:firstColumn="1" w:firstRow="1" w:lastColumn="0" w:lastRow="0" w:noHBand="0" w:noVBand="1" w:val="04A0"/>
      </w:tblPr>
      <w:tblGrid>
        <w:gridCol w:w="4819"/>
        <w:gridCol w:w="4819"/>
      </w:tblGrid>
      <w:tr>
        <w:trPr>
          <w:trHeight w:val="1927" w:hRule="atLeast"/>
        </w:trPr>
        <w:tc>
          <w:tcPr>
            <w:tcW w:type="dxa" w:w="1587"/>
            <w:shd w:val="clear" w:color="auto" w:fill="EFF1F4"/>
            <w:vAlign w:val="top"/>
          </w:tcPr>
          <w:p>
            <w:pPr>
              <w:spacing w:after="40"/>
            </w:pPr>
            <w:r>
              <w:rPr>
                <w:b/>
                <w:i w:val="0"/>
                <w:color w:val="4B5563"/>
                <w:sz w:val="20"/>
              </w:rPr>
              <w:t>Unsere Übersetzung</w:t>
              <w:br/>
            </w:r>
            <w:r>
              <w:rPr>
                <w:b/>
                <w:i w:val="0"/>
                <w:color w:val="4B5563"/>
                <w:sz w:val="20"/>
              </w:rPr>
              <w:t>(max. 25 Wörter)</w:t>
            </w:r>
          </w:p>
        </w:tc>
        <w:tc>
          <w:tcPr>
            <w:tcW w:type="dxa" w:w="8050"/>
            <w:vAlign w:val="top"/>
          </w:tcPr>
          <w:p>
            <w:pPr>
              <w:spacing w:after="40"/>
            </w:pPr>
          </w:p>
        </w:tc>
      </w:tr>
      <w:tr>
        <w:trPr>
          <w:trHeight w:val="1360" w:hRule="atLeast"/>
        </w:trPr>
        <w:tc>
          <w:tcPr>
            <w:tcW w:type="dxa" w:w="1587"/>
            <w:shd w:val="clear" w:color="auto" w:fill="EFF1F4"/>
            <w:vAlign w:val="top"/>
          </w:tcPr>
          <w:p>
            <w:pPr>
              <w:spacing w:after="40"/>
            </w:pPr>
            <w:r>
              <w:rPr>
                <w:b/>
                <w:i w:val="0"/>
                <w:color w:val="4B5563"/>
                <w:sz w:val="20"/>
              </w:rPr>
              <w:t>Unser Verwerfungssatz</w:t>
            </w:r>
          </w:p>
        </w:tc>
        <w:tc>
          <w:tcPr>
            <w:tcW w:type="dxa" w:w="8050"/>
            <w:vAlign w:val="top"/>
          </w:tcPr>
          <w:p>
            <w:pPr>
              <w:spacing w:after="40"/>
            </w:pPr>
            <w:r>
              <w:rPr>
                <w:b w:val="0"/>
                <w:i w:val="0"/>
                <w:sz w:val="20"/>
              </w:rPr>
              <w:t>Wir verwerfen die falsche Lehre, als ob …</w:t>
            </w:r>
          </w:p>
        </w:tc>
      </w:tr>
      <w:tr>
        <w:trPr>
          <w:trHeight w:val="1927" w:hRule="atLeast"/>
        </w:trPr>
        <w:tc>
          <w:tcPr>
            <w:tcW w:type="dxa" w:w="1587"/>
            <w:shd w:val="clear" w:color="auto" w:fill="EFF1F4"/>
            <w:vAlign w:val="top"/>
          </w:tcPr>
          <w:p>
            <w:pPr>
              <w:spacing w:after="40"/>
            </w:pPr>
            <w:r>
              <w:rPr>
                <w:b/>
                <w:i w:val="0"/>
                <w:color w:val="4B5563"/>
                <w:sz w:val="20"/>
              </w:rPr>
              <w:t>Diesen beiden Gruppen tut das weh</w:t>
            </w:r>
          </w:p>
        </w:tc>
        <w:tc>
          <w:tcPr>
            <w:tcW w:type="dxa" w:w="8050"/>
            <w:vAlign w:val="top"/>
          </w:tcPr>
          <w:p>
            <w:pPr>
              <w:spacing w:after="40"/>
            </w:pP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DIESE SATZFORM KOMMT ZURÜCK</w:t>
            </w:r>
          </w:p>
          <w:p>
            <w:pPr>
              <w:spacing w:after="80"/>
            </w:pPr>
            <w:r>
              <w:rPr>
                <w:b w:val="0"/>
                <w:i w:val="0"/>
              </w:rPr>
              <w:t>„Wir verwerfen die falsche Lehre, als ob …“ ist das Werkzeug der ganzen Einheit. In Doppelstunde 6 schreibt ihr damit eigene Thesen zu heutigen Fragen. Bewahrt dieses Blatt auf.</w:t>
            </w:r>
          </w:p>
        </w:tc>
      </w:tr>
    </w:tbl>
    <w:p>
      <w:pPr>
        <w:spacing w:after="120"/>
      </w:pPr>
    </w:p>
    <w:p>
      <w:pPr>
        <w:spacing w:before="200" w:after="120"/>
        <w:pBdr>
          <w:top w:val="single" w:sz="6" w:space="6" w:color="B7BEC7"/>
        </w:pBdr>
      </w:pPr>
      <w:r>
        <w:rPr>
          <w:rFonts w:ascii="Consolas" w:hAnsi="Consolas"/>
          <w:color w:val="4B5563"/>
          <w:sz w:val="19"/>
        </w:rPr>
        <w:t xml:space="preserve">Name: </w:t>
      </w:r>
      <w:r>
        <w:rPr>
          <w:color w:val="6B7280"/>
          <w:sz w:val="19"/>
        </w:rPr>
        <w:t>____________________</w:t>
      </w:r>
      <w:r>
        <w:t xml:space="preserve">    </w:t>
      </w:r>
      <w:r>
        <w:rPr>
          <w:rFonts w:ascii="Consolas" w:hAnsi="Consolas"/>
          <w:color w:val="4B5563"/>
          <w:sz w:val="19"/>
        </w:rPr>
        <w:t xml:space="preserve">Klasse: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M14 · PROJEKTION UND KOPIERVORLAGE</w:t>
      </w:r>
    </w:p>
    <w:p>
      <w:pPr>
        <w:spacing w:before="160" w:after="160"/>
        <w:pBdr>
          <w:bottom w:val="single" w:sz="12" w:space="6" w:color="1E3A5F"/>
        </w:pBdr>
        <w:keepNext/>
      </w:pPr>
      <w:r>
        <w:rPr>
          <w:rFonts w:ascii="Consolas" w:hAnsi="Consolas"/>
          <w:b/>
          <w:color w:val="1E3A5F"/>
          <w:sz w:val="22"/>
        </w:rPr>
        <w:t>M14</w:t>
      </w:r>
      <w:r>
        <w:rPr>
          <w:rFonts w:ascii="Consolas" w:hAnsi="Consolas"/>
          <w:color w:val="6B7280"/>
          <w:sz w:val="18"/>
        </w:rPr>
        <w:t xml:space="preserve">   Der Fall Hans Meiser</w:t>
      </w:r>
    </w:p>
    <w:p>
      <w:pPr>
        <w:pStyle w:val="Heading2"/>
        <w:spacing w:after="160" w:before="200"/>
        <w:keepNext/>
      </w:pPr>
      <w:r>
        <w:rPr>
          <w:b w:val="0"/>
          <w:i w:val="0"/>
        </w:rPr>
        <w:t>Wie umgehen mit halben Helden?</w:t>
      </w:r>
    </w:p>
    <w:tbl>
      <w:tblPr>
        <w:tblStyle w:val="TableGrid"/>
        <w:tblW w:type="auto" w:w="0"/>
        <w:tblLayout w:type="fixed"/>
        <w:tblLook w:firstColumn="1" w:firstRow="1" w:lastColumn="0" w:lastRow="0" w:noHBand="0" w:noVBand="1" w:val="04A0"/>
      </w:tblPr>
      <w:tblGrid>
        <w:gridCol w:w="4819"/>
        <w:gridCol w:w="4819"/>
      </w:tblGrid>
      <w:tr>
        <w:tc>
          <w:tcPr>
            <w:tcW w:type="dxa" w:w="1587"/>
            <w:shd w:val="clear" w:color="auto" w:fill="E5ECF4"/>
            <w:vAlign w:val="top"/>
          </w:tcPr>
          <w:p>
            <w:pPr>
              <w:spacing w:after="40"/>
            </w:pPr>
            <w:r>
              <w:rPr>
                <w:b/>
                <w:i w:val="0"/>
                <w:color w:val="1E3A5F"/>
                <w:sz w:val="20"/>
              </w:rPr>
              <w:t>Das spricht für ihn</w:t>
            </w:r>
          </w:p>
        </w:tc>
        <w:tc>
          <w:tcPr>
            <w:tcW w:type="dxa" w:w="8050"/>
            <w:shd w:val="clear" w:color="auto" w:fill="E5ECF4"/>
            <w:vAlign w:val="top"/>
          </w:tcPr>
          <w:p>
            <w:pPr>
              <w:spacing w:after="40"/>
            </w:pPr>
            <w:r>
              <w:rPr>
                <w:b/>
                <w:i w:val="0"/>
                <w:color w:val="1E3A5F"/>
                <w:sz w:val="20"/>
              </w:rPr>
              <w:t>Das spricht gegen ihn</w:t>
            </w:r>
          </w:p>
        </w:tc>
      </w:tr>
      <w:tr>
        <w:trPr>
          <w:trHeight w:val="1360" w:hRule="atLeast"/>
        </w:trPr>
        <w:tc>
          <w:tcPr>
            <w:tcW w:type="dxa" w:w="1587"/>
            <w:vAlign w:val="top"/>
          </w:tcPr>
          <w:p>
            <w:pPr>
              <w:spacing w:after="40"/>
            </w:pPr>
            <w:r>
              <w:rPr>
                <w:b w:val="0"/>
                <w:i w:val="0"/>
                <w:sz w:val="20"/>
              </w:rPr>
              <w:t xml:space="preserve"> Er verhinderte die Eingliederung der bayerischen Landeskirche in die Reichskirche.</w:t>
              <w:br/>
              <w:br/>
            </w:r>
            <w:r>
              <w:rPr>
                <w:b w:val="0"/>
                <w:i w:val="0"/>
                <w:sz w:val="20"/>
              </w:rPr>
              <w:t xml:space="preserve"> Im Oktober 1934 wurde er unter Hausarrest gestellt; in Franken gingen Tausende für ihn auf die Straße.</w:t>
              <w:br/>
              <w:br/>
            </w:r>
            <w:r>
              <w:rPr>
                <w:b w:val="0"/>
                <w:i w:val="0"/>
                <w:sz w:val="20"/>
              </w:rPr>
              <w:t xml:space="preserve"> Die bayerische Landeskirche blieb „intakt“ — sie wurde nicht von den Deutschen Christen übernommen.</w:t>
              <w:br/>
              <w:br/>
            </w:r>
            <w:r>
              <w:rPr>
                <w:b w:val="0"/>
                <w:i w:val="0"/>
                <w:sz w:val="20"/>
              </w:rPr>
              <w:t xml:space="preserve"> Nach 1945 baute er die Kirche wieder auf. </w:t>
            </w:r>
          </w:p>
        </w:tc>
        <w:tc>
          <w:tcPr>
            <w:tcW w:type="dxa" w:w="8050"/>
            <w:vAlign w:val="top"/>
          </w:tcPr>
          <w:p>
            <w:pPr>
              <w:spacing w:after="40"/>
            </w:pPr>
            <w:r>
              <w:rPr>
                <w:b w:val="0"/>
                <w:i w:val="0"/>
                <w:sz w:val="20"/>
              </w:rPr>
              <w:t xml:space="preserve"> Er äußerte sich antijudaistisch, also abwertend über das Judentum.</w:t>
              <w:br/>
              <w:br/>
            </w:r>
            <w:r>
              <w:rPr>
                <w:b w:val="0"/>
                <w:i w:val="0"/>
                <w:sz w:val="20"/>
              </w:rPr>
              <w:t xml:space="preserve"> Zur Verfolgung und Deportation der Juden schwieg er öffentlich.</w:t>
              <w:br/>
              <w:br/>
            </w:r>
            <w:r>
              <w:rPr>
                <w:b w:val="0"/>
                <w:i w:val="0"/>
                <w:sz w:val="20"/>
              </w:rPr>
              <w:t xml:space="preserve"> Beim Umgang mit belasteten Pfarrern nach 1945 war er nachsichtig.</w:t>
              <w:br/>
              <w:br/>
            </w:r>
            <w:r>
              <w:rPr>
                <w:b w:val="0"/>
                <w:i w:val="0"/>
                <w:sz w:val="20"/>
              </w:rPr>
              <w:t xml:space="preserve"> Die nach ihm benannten Straßen in München (2007) und Nürnberg (2010) wurden nach jahrelangem Streit umbenannt. </w:t>
            </w:r>
          </w:p>
        </w:tc>
      </w:tr>
    </w:tbl>
    <w:p>
      <w:pPr>
        <w:spacing w:before="40" w:after="160"/>
      </w:pPr>
    </w:p>
    <w:p>
      <w:pPr>
        <w:spacing w:after="40"/>
        <w:shd w:val="clear" w:color="auto" w:fill="E5ECF4"/>
        <w:keepNext/>
      </w:pPr>
      <w:r>
        <w:rPr>
          <w:rFonts w:ascii="Consolas" w:hAnsi="Consolas"/>
          <w:b/>
          <w:color w:val="1E3A5F"/>
          <w:sz w:val="18"/>
        </w:rPr>
        <w:t>ARBEITSAUFTRAG · PLENUM, 10 MINUTEN</w:t>
      </w:r>
    </w:p>
    <w:p>
      <w:pPr>
        <w:pStyle w:val="ListNumber"/>
        <w:spacing w:after="60"/>
        <w:numPr>
          <w:ilvl w:val="0"/>
          <w:numId w:val="17"/>
        </w:numPr>
      </w:pPr>
      <w:r>
        <w:rPr>
          <w:b w:val="0"/>
          <w:i w:val="0"/>
        </w:rPr>
        <w:t>Handzeichen: Umbenennen — ja oder nein?</w:t>
      </w:r>
    </w:p>
    <w:p>
      <w:pPr>
        <w:pStyle w:val="ListNumber"/>
        <w:spacing w:after="60"/>
        <w:numPr>
          <w:ilvl w:val="0"/>
          <w:numId w:val="17"/>
        </w:numPr>
      </w:pPr>
      <w:r>
        <w:rPr>
          <w:b w:val="0"/>
          <w:i w:val="0"/>
        </w:rPr>
        <w:t>Je eine Begründung von beiden Seiten.</w:t>
      </w:r>
    </w:p>
    <w:p>
      <w:pPr>
        <w:pStyle w:val="ListNumber"/>
        <w:spacing w:after="60"/>
        <w:numPr>
          <w:ilvl w:val="0"/>
          <w:numId w:val="17"/>
        </w:numPr>
      </w:pPr>
      <w:r>
        <w:rPr>
          <w:b w:val="0"/>
          <w:i w:val="0"/>
        </w:rPr>
        <w:t xml:space="preserve">Dritte Möglichkeit: Straßenname behalten, aber ein Zusatzschild anbringen. </w:t>
      </w:r>
      <w:r>
        <w:rPr>
          <w:b/>
          <w:i w:val="0"/>
        </w:rPr>
        <w:t>Was müsste darauf stehen?</w:t>
      </w:r>
      <w:r>
        <w:rPr>
          <w:b w:val="0"/>
          <w:i w:val="0"/>
        </w:rPr>
        <w:t xml:space="preserve"> Formuliert gemeinsam einen Satz.</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UNSER ZUSATZSCHILD</w:t>
            </w:r>
          </w:p>
          <w:p>
            <w:pPr>
              <w:spacing w:after="80"/>
            </w:pPr>
          </w:p>
        </w:tc>
      </w:tr>
    </w:tbl>
    <w:p>
      <w:pPr>
        <w:spacing w:after="120"/>
      </w:pP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WORTLAUT DER ÜBERLEITUNG IN DIE NÄCHSTE STUNDE</w:t>
            </w:r>
          </w:p>
          <w:p>
            <w:pPr>
              <w:spacing w:after="80"/>
            </w:pPr>
            <w:r>
              <w:rPr>
                <w:b w:val="0"/>
                <w:i w:val="0"/>
              </w:rPr>
              <w:t>„Meiser hat seine Kirche gerettet und zu den Deportationen geschwiegen. Bonhoeffer hat an einem Attentat mitgewirkt und ist dafür gehängt worden. Niemöller hat Hitler zuerst gewählt und ist dann im KZ gelandet. Drei Christen, drei völlig verschiedene Wege. Nächste Stunde spannen wir eine Leine quer durch diesen Raum, und Sie hängen diese Menschen daran auf. Und ganz am Ende steht die Frage, vor der Sie sich heute noch drücken dürfen: Wo hätten Sie gehangen?“</w:t>
            </w:r>
          </w:p>
        </w:tc>
      </w:tr>
    </w:tbl>
    <w:p>
      <w:pPr>
        <w:spacing w:after="120"/>
      </w:pPr>
    </w:p>
    <w:p>
      <w:r>
        <w:br w:type="page"/>
      </w:r>
    </w:p>
    <w:p>
      <w:pPr>
        <w:pStyle w:val="Heading1"/>
        <w:spacing w:after="160" w:before="200"/>
        <w:keepNext/>
      </w:pPr>
      <w:r>
        <w:rPr>
          <w:b w:val="0"/>
          <w:i w:val="0"/>
        </w:rPr>
        <w:t>Bild- und Quellennachweis</w:t>
      </w:r>
    </w:p>
    <w:p>
      <w:pPr>
        <w:pStyle w:val="ListBullet"/>
        <w:spacing w:after="60"/>
      </w:pPr>
      <w:r>
        <w:rPr>
          <w:b/>
          <w:i w:val="0"/>
        </w:rPr>
        <w:t>M11a · Karl Barth:</w:t>
      </w:r>
      <w:r>
        <w:rPr>
          <w:b w:val="0"/>
          <w:i w:val="0"/>
        </w:rPr>
        <w:t xml:space="preserve"> „Karl Barth in 1956 (cropped)“, Fotograf Hans Lachmann, Lizenz </w:t>
      </w:r>
      <w:r>
        <w:rPr>
          <w:b/>
          <w:i w:val="0"/>
        </w:rPr>
        <w:t>CC BY-SA 3.0 de</w:t>
      </w:r>
      <w:r>
        <w:rPr>
          <w:b w:val="0"/>
          <w:i w:val="0"/>
        </w:rPr>
        <w:t xml:space="preserve"> — </w:t>
      </w:r>
      <w:hyperlink r:id="rId10">
        <w:r>
          <w:rPr>
            <w:color w:val="1E3A5F"/>
            <w:u w:val="single"/>
          </w:rPr>
          <w:t xml:space="preserve">Dateiseite auf Wikimedia Commons</w:t>
        </w:r>
      </w:hyperlink>
      <w:r>
        <w:rPr>
          <w:rFonts w:ascii="Consolas" w:hAnsi="Consolas"/>
          <w:b w:val="0"/>
          <w:i w:val="0"/>
          <w:color w:val="6B7280"/>
          <w:sz w:val="16"/>
        </w:rPr>
        <w:t xml:space="preserve"> (https://commons.wikimedia.org/wiki/File:Karl_Barth_in_1956_(cropped).jpg)</w:t>
      </w:r>
    </w:p>
    <w:p>
      <w:pPr>
        <w:spacing w:after="120"/>
      </w:pPr>
      <w:r>
        <w:rPr>
          <w:b/>
          <w:i w:val="0"/>
        </w:rPr>
        <w:t>Zu den Texten:</w:t>
      </w:r>
      <w:r>
        <w:rPr>
          <w:b w:val="0"/>
          <w:i w:val="0"/>
        </w:rPr>
        <w:t xml:space="preserve"> Die Barmer Thesen in M13 sind wörtlich zitiert (Auslassungen sind mit … gekennzeichnet). Volltext: </w:t>
      </w:r>
      <w:hyperlink r:id="rId11">
        <w:r>
          <w:rPr>
            <w:color w:val="1E3A5F"/>
            <w:u w:val="single"/>
          </w:rPr>
          <w:t xml:space="preserve">reformiert-info.de</w:t>
        </w:r>
      </w:hyperlink>
      <w:r>
        <w:rPr>
          <w:rFonts w:ascii="Consolas" w:hAnsi="Consolas"/>
          <w:b w:val="0"/>
          <w:i w:val="0"/>
          <w:color w:val="6B7280"/>
          <w:sz w:val="16"/>
        </w:rPr>
        <w:t xml:space="preserve"> (https://www.reformiert-info.de/Barmer_Theologische_Erklaerung_(1934)-35496-0-37-5.html)</w:t>
      </w:r>
      <w:r>
        <w:rPr>
          <w:b w:val="0"/>
          <w:i w:val="0"/>
        </w:rPr>
        <w:t xml:space="preserve">; bayerische Perspektive im </w:t>
      </w:r>
      <w:hyperlink r:id="rId12">
        <w:r>
          <w:rPr>
            <w:color w:val="1E3A5F"/>
            <w:u w:val="single"/>
          </w:rPr>
          <w:t xml:space="preserve">Themenheft der ELKB</w:t>
        </w:r>
      </w:hyperlink>
      <w:r>
        <w:rPr>
          <w:rFonts w:ascii="Consolas" w:hAnsi="Consolas"/>
          <w:b w:val="0"/>
          <w:i w:val="0"/>
          <w:color w:val="6B7280"/>
          <w:sz w:val="16"/>
        </w:rPr>
        <w:t xml:space="preserve"> (https://www.bayern-evangelisch.de/epaper/barmen/epaper/ausgabe.pdf)</w:t>
      </w:r>
      <w:r>
        <w:rPr>
          <w:b w:val="0"/>
          <w:i w:val="0"/>
        </w:rPr>
        <w:t xml:space="preserve">. Die Position des Ansbacher Ratschlags ist sinngemäß zusammengefasst, nicht zitiert. Die Rollenkarten sind für den Unterricht zugespitzt; Charlotte S. ist ausdrücklich eine zusammengesetzte Figur. Zur Chronologie des Kirchenkampfs in Bayern: </w:t>
      </w:r>
      <w:hyperlink r:id="rId13">
        <w:r>
          <w:rPr>
            <w:color w:val="1E3A5F"/>
            <w:u w:val="single"/>
          </w:rPr>
          <w:t xml:space="preserve">Sonntagsblatt</w:t>
        </w:r>
      </w:hyperlink>
      <w:r>
        <w:rPr>
          <w:rFonts w:ascii="Consolas" w:hAnsi="Consolas"/>
          <w:b w:val="0"/>
          <w:i w:val="0"/>
          <w:color w:val="6B7280"/>
          <w:sz w:val="16"/>
        </w:rPr>
        <w:t xml:space="preserve"> (https://www.sonntagsblatt.de/artikel/barmer-theologische-erklaerung/kirche/bischof-meisers-kampf-um-die-intakte-kirche)</w:t>
      </w:r>
      <w:r>
        <w:rPr>
          <w:b w:val="0"/>
          <w:i w:val="0"/>
        </w:rPr>
        <w:t>.</w:t>
      </w:r>
    </w:p>
    <w:p>
      <w:pPr>
        <w:spacing w:after="120"/>
      </w:pPr>
      <w:r>
        <w:rPr>
          <w:b w:val="0"/>
          <w:i w:val="0"/>
        </w:rPr>
        <w:t xml:space="preserve">Fachliche Grundlage: </w:t>
      </w:r>
      <w:hyperlink r:id="rId14">
        <w:r>
          <w:rPr>
            <w:color w:val="1E3A5F"/>
            <w:u w:val="single"/>
          </w:rPr>
          <w:t xml:space="preserve">LehrplanPLUS Bayern, Gymnasium 9, Evangelische Religionslehre, Lernbereich 4</w:t>
        </w:r>
      </w:hyperlink>
      <w:r>
        <w:rPr>
          <w:rFonts w:ascii="Consolas" w:hAnsi="Consolas"/>
          <w:b w:val="0"/>
          <w:i w:val="0"/>
          <w:color w:val="6B7280"/>
          <w:sz w:val="16"/>
        </w:rPr>
        <w:t xml:space="preserve"> (https://www.lehrplanplus.bayern.de/fachlehrplan/gymnasium/9/evangelische-religionslehre)</w:t>
      </w:r>
      <w:r>
        <w:rPr>
          <w:b w:val="0"/>
          <w:i w:val="0"/>
        </w:rPr>
        <w: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commons.wikimedia.org/wiki/File:Karl_Barth_in_1956_(cropped).jpg" TargetMode="External"/><Relationship Id="rId11" Type="http://schemas.openxmlformats.org/officeDocument/2006/relationships/hyperlink" Target="https://www.reformiert-info.de/Barmer_Theologische_Erklaerung_(1934)-35496-0-37-5.html" TargetMode="External"/><Relationship Id="rId12" Type="http://schemas.openxmlformats.org/officeDocument/2006/relationships/hyperlink" Target="https://www.bayern-evangelisch.de/epaper/barmen/epaper/ausgabe.pdf" TargetMode="External"/><Relationship Id="rId13" Type="http://schemas.openxmlformats.org/officeDocument/2006/relationships/hyperlink" Target="https://www.sonntagsblatt.de/artikel/barmer-theologische-erklaerung/kirche/bischof-meisers-kampf-um-die-intakte-kirche" TargetMode="External"/><Relationship Id="rId14" Type="http://schemas.openxmlformats.org/officeDocument/2006/relationships/hyperlink" Target="https://www.lehrplanplus.bayern.de/fachlehrplan/gymnasium/9/evangelische-religionsleh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