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color w:val="1E3A5F"/>
          <w:sz w:val="18"/>
        </w:rPr>
        <w:t>KOPIERVORLAGEN · DOPPELSTUNDE 5 VON 6 · EV. RELIGIONSLEHRE · GYMNASIUM BAYERN · JGST. 9</w:t>
      </w:r>
    </w:p>
    <w:p>
      <w:pPr>
        <w:pStyle w:val="Title"/>
      </w:pPr>
      <w:r>
        <w:rPr>
          <w:b w:val="0"/>
          <w:i w:val="0"/>
        </w:rPr>
        <w:t>Kerzen statt Steine</w:t>
      </w:r>
    </w:p>
    <w:p>
      <w:pPr>
        <w:spacing w:after="200"/>
      </w:pPr>
      <w:r>
        <w:rPr>
          <w:b w:val="0"/>
          <w:i w:val="0"/>
          <w:color w:val="4B5563"/>
          <w:sz w:val="22"/>
        </w:rPr>
        <w:t>Kirche in der DDR: die Einstiegsfolie mit dem verbotenen Aufnäher, die Input-Folie, fünf Themenkarten für die Redaktionsteams, die Vorlage für die Ausstellungstafel und die Vergleichstabelle, in der das Wissen aus den Doppelstunden 2 bis 4 zusammenkommt. Recherche-Stunde — Smartphones werden gebraucht.</w:t>
      </w:r>
    </w:p>
    <w:p>
      <w:r>
        <w:br w:type="page"/>
      </w:r>
    </w:p>
    <w:p>
      <w:pPr>
        <w:spacing w:before="80" w:after="160"/>
        <w:shd w:val="clear" w:color="auto" w:fill="F6E7E5"/>
        <w:pBdr>
          <w:top w:val="single" w:sz="8" w:space="6" w:color="8C2A24"/>
          <w:bottom w:val="single" w:sz="8" w:space="6" w:color="8C2A24"/>
          <w:left w:val="single" w:sz="8" w:space="6" w:color="8C2A24"/>
          <w:right w:val="single" w:sz="8" w:space="6" w:color="8C2A24"/>
        </w:pBdr>
        <w:keepNext/>
      </w:pPr>
      <w:r>
        <w:rPr>
          <w:rFonts w:ascii="Consolas" w:hAnsi="Consolas"/>
          <w:b/>
          <w:color w:val="8C2A24"/>
          <w:sz w:val="20"/>
        </w:rPr>
        <w:t>FÜR DIE LEHRKRAFT · NICHT KOPIEREN</w:t>
      </w:r>
    </w:p>
    <w:p>
      <w:pPr>
        <w:pStyle w:val="Heading1"/>
        <w:spacing w:after="160" w:before="200"/>
        <w:keepNext/>
      </w:pPr>
      <w:r>
        <w:rPr>
          <w:b w:val="0"/>
          <w:i w:val="0"/>
        </w:rPr>
        <w:t>Verlauf, Differenzierung und der Punkt, an dem es klickt</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5ECF4"/>
            <w:vAlign w:val="top"/>
          </w:tcPr>
          <w:p>
            <w:pPr>
              <w:spacing w:after="40"/>
            </w:pPr>
            <w:r>
              <w:rPr>
                <w:b/>
                <w:i w:val="0"/>
                <w:color w:val="1E3A5F"/>
                <w:sz w:val="20"/>
              </w:rPr>
              <w:t>Zeit</w:t>
            </w:r>
          </w:p>
        </w:tc>
        <w:tc>
          <w:tcPr>
            <w:tcW w:type="dxa" w:w="2409"/>
            <w:shd w:val="clear" w:color="auto" w:fill="E5ECF4"/>
            <w:vAlign w:val="top"/>
          </w:tcPr>
          <w:p>
            <w:pPr>
              <w:spacing w:after="40"/>
            </w:pPr>
            <w:r>
              <w:rPr>
                <w:b/>
                <w:i w:val="0"/>
                <w:color w:val="1E3A5F"/>
                <w:sz w:val="20"/>
              </w:rPr>
              <w:t>Phase</w:t>
            </w:r>
          </w:p>
        </w:tc>
        <w:tc>
          <w:tcPr>
            <w:tcW w:type="dxa" w:w="2409"/>
            <w:shd w:val="clear" w:color="auto" w:fill="E5ECF4"/>
            <w:vAlign w:val="top"/>
          </w:tcPr>
          <w:p>
            <w:pPr>
              <w:spacing w:after="40"/>
            </w:pPr>
            <w:r>
              <w:rPr>
                <w:b/>
                <w:i w:val="0"/>
                <w:color w:val="1E3A5F"/>
                <w:sz w:val="20"/>
              </w:rPr>
              <w:t>Was passiert</w:t>
            </w:r>
          </w:p>
        </w:tc>
        <w:tc>
          <w:tcPr>
            <w:tcW w:type="dxa" w:w="2409"/>
            <w:shd w:val="clear" w:color="auto" w:fill="E5ECF4"/>
            <w:vAlign w:val="top"/>
          </w:tcPr>
          <w:p>
            <w:pPr>
              <w:spacing w:after="40"/>
            </w:pPr>
            <w:r>
              <w:rPr>
                <w:b/>
                <w:i w:val="0"/>
                <w:color w:val="1E3A5F"/>
                <w:sz w:val="20"/>
              </w:rPr>
              <w:t>Material</w:t>
            </w:r>
          </w:p>
        </w:tc>
      </w:tr>
      <w:tr>
        <w:tc>
          <w:tcPr>
            <w:tcW w:type="dxa" w:w="2409"/>
            <w:vAlign w:val="top"/>
          </w:tcPr>
          <w:p>
            <w:pPr>
              <w:spacing w:after="40"/>
            </w:pPr>
            <w:r>
              <w:rPr>
                <w:b w:val="0"/>
                <w:i w:val="0"/>
                <w:sz w:val="20"/>
              </w:rPr>
              <w:t>0–10</w:t>
            </w:r>
          </w:p>
        </w:tc>
        <w:tc>
          <w:tcPr>
            <w:tcW w:type="dxa" w:w="2409"/>
            <w:vAlign w:val="top"/>
          </w:tcPr>
          <w:p>
            <w:pPr>
              <w:spacing w:after="40"/>
            </w:pPr>
            <w:r>
              <w:rPr>
                <w:b w:val="0"/>
                <w:i w:val="0"/>
                <w:sz w:val="20"/>
              </w:rPr>
              <w:t>Einstieg</w:t>
            </w:r>
          </w:p>
        </w:tc>
        <w:tc>
          <w:tcPr>
            <w:tcW w:type="dxa" w:w="2409"/>
            <w:vAlign w:val="top"/>
          </w:tcPr>
          <w:p>
            <w:pPr>
              <w:spacing w:after="40"/>
            </w:pPr>
            <w:r>
              <w:rPr>
                <w:b w:val="0"/>
                <w:i w:val="0"/>
                <w:sz w:val="20"/>
              </w:rPr>
              <w:t>Der Aufnäher und Micha 4,3 — warum ist ein Friedenszeichen gefährlich?</w:t>
            </w:r>
          </w:p>
        </w:tc>
        <w:tc>
          <w:tcPr>
            <w:tcW w:type="dxa" w:w="2409"/>
            <w:vAlign w:val="top"/>
          </w:tcPr>
          <w:p>
            <w:pPr>
              <w:spacing w:after="40"/>
            </w:pPr>
            <w:r>
              <w:rPr>
                <w:b w:val="0"/>
                <w:i w:val="0"/>
                <w:sz w:val="20"/>
              </w:rPr>
              <w:t>M19</w:t>
            </w:r>
          </w:p>
        </w:tc>
      </w:tr>
      <w:tr>
        <w:tc>
          <w:tcPr>
            <w:tcW w:type="dxa" w:w="2409"/>
            <w:vAlign w:val="top"/>
          </w:tcPr>
          <w:p>
            <w:pPr>
              <w:spacing w:after="40"/>
            </w:pPr>
            <w:r>
              <w:rPr>
                <w:b w:val="0"/>
                <w:i w:val="0"/>
                <w:sz w:val="20"/>
              </w:rPr>
              <w:t>10–20</w:t>
            </w:r>
          </w:p>
        </w:tc>
        <w:tc>
          <w:tcPr>
            <w:tcW w:type="dxa" w:w="2409"/>
            <w:vAlign w:val="top"/>
          </w:tcPr>
          <w:p>
            <w:pPr>
              <w:spacing w:after="40"/>
            </w:pPr>
            <w:r>
              <w:rPr>
                <w:b w:val="0"/>
                <w:i w:val="0"/>
                <w:sz w:val="20"/>
              </w:rPr>
              <w:t>Input</w:t>
            </w:r>
          </w:p>
        </w:tc>
        <w:tc>
          <w:tcPr>
            <w:tcW w:type="dxa" w:w="2409"/>
            <w:vAlign w:val="top"/>
          </w:tcPr>
          <w:p>
            <w:pPr>
              <w:spacing w:after="40"/>
            </w:pPr>
            <w:r>
              <w:rPr>
                <w:b w:val="0"/>
                <w:i w:val="0"/>
                <w:sz w:val="20"/>
              </w:rPr>
              <w:t>Kirche im Sozialismus, fünf Punkte, Lehrervortrag</w:t>
            </w:r>
          </w:p>
        </w:tc>
        <w:tc>
          <w:tcPr>
            <w:tcW w:type="dxa" w:w="2409"/>
            <w:vAlign w:val="top"/>
          </w:tcPr>
          <w:p>
            <w:pPr>
              <w:spacing w:after="40"/>
            </w:pPr>
            <w:r>
              <w:rPr>
                <w:b w:val="0"/>
                <w:i w:val="0"/>
                <w:sz w:val="20"/>
              </w:rPr>
              <w:t>M20</w:t>
            </w:r>
          </w:p>
        </w:tc>
      </w:tr>
      <w:tr>
        <w:tc>
          <w:tcPr>
            <w:tcW w:type="dxa" w:w="2409"/>
            <w:vAlign w:val="top"/>
          </w:tcPr>
          <w:p>
            <w:pPr>
              <w:spacing w:after="40"/>
            </w:pPr>
            <w:r>
              <w:rPr>
                <w:b w:val="0"/>
                <w:i w:val="0"/>
                <w:sz w:val="20"/>
              </w:rPr>
              <w:t>20–50</w:t>
            </w:r>
          </w:p>
        </w:tc>
        <w:tc>
          <w:tcPr>
            <w:tcW w:type="dxa" w:w="2409"/>
            <w:vAlign w:val="top"/>
          </w:tcPr>
          <w:p>
            <w:pPr>
              <w:spacing w:after="40"/>
            </w:pPr>
            <w:r>
              <w:rPr>
                <w:b w:val="0"/>
                <w:i w:val="0"/>
                <w:sz w:val="20"/>
              </w:rPr>
              <w:t>Erarbeitung</w:t>
            </w:r>
          </w:p>
        </w:tc>
        <w:tc>
          <w:tcPr>
            <w:tcW w:type="dxa" w:w="2409"/>
            <w:vAlign w:val="top"/>
          </w:tcPr>
          <w:p>
            <w:pPr>
              <w:spacing w:after="40"/>
            </w:pPr>
            <w:r>
              <w:rPr>
                <w:b w:val="0"/>
                <w:i w:val="0"/>
                <w:sz w:val="20"/>
              </w:rPr>
              <w:t>Fünf Redaktionsteams recherchieren und bauen je eine Ausstellungstafel</w:t>
            </w:r>
          </w:p>
        </w:tc>
        <w:tc>
          <w:tcPr>
            <w:tcW w:type="dxa" w:w="2409"/>
            <w:vAlign w:val="top"/>
          </w:tcPr>
          <w:p>
            <w:pPr>
              <w:spacing w:after="40"/>
            </w:pPr>
            <w:r>
              <w:rPr>
                <w:b w:val="0"/>
                <w:i w:val="0"/>
                <w:sz w:val="20"/>
              </w:rPr>
              <w:t>M21a–e, A3, Handy</w:t>
            </w:r>
          </w:p>
        </w:tc>
      </w:tr>
      <w:tr>
        <w:tc>
          <w:tcPr>
            <w:tcW w:type="dxa" w:w="2409"/>
            <w:vAlign w:val="top"/>
          </w:tcPr>
          <w:p>
            <w:pPr>
              <w:spacing w:after="40"/>
            </w:pPr>
            <w:r>
              <w:rPr>
                <w:b w:val="0"/>
                <w:i w:val="0"/>
                <w:sz w:val="20"/>
              </w:rPr>
              <w:t>50–66</w:t>
            </w:r>
          </w:p>
        </w:tc>
        <w:tc>
          <w:tcPr>
            <w:tcW w:type="dxa" w:w="2409"/>
            <w:vAlign w:val="top"/>
          </w:tcPr>
          <w:p>
            <w:pPr>
              <w:spacing w:after="40"/>
            </w:pPr>
            <w:r>
              <w:rPr>
                <w:b w:val="0"/>
                <w:i w:val="0"/>
                <w:sz w:val="20"/>
              </w:rPr>
              <w:t>Präsentation</w:t>
            </w:r>
          </w:p>
        </w:tc>
        <w:tc>
          <w:tcPr>
            <w:tcW w:type="dxa" w:w="2409"/>
            <w:vAlign w:val="top"/>
          </w:tcPr>
          <w:p>
            <w:pPr>
              <w:spacing w:after="40"/>
            </w:pPr>
            <w:r>
              <w:rPr>
                <w:b w:val="0"/>
                <w:i w:val="0"/>
                <w:sz w:val="20"/>
              </w:rPr>
              <w:t>Stiller Museumsrundgang, Klebepunkte auf die beste offene Frage</w:t>
            </w:r>
          </w:p>
        </w:tc>
        <w:tc>
          <w:tcPr>
            <w:tcW w:type="dxa" w:w="2409"/>
            <w:vAlign w:val="top"/>
          </w:tcPr>
          <w:p>
            <w:pPr>
              <w:spacing w:after="40"/>
            </w:pPr>
            <w:r>
              <w:rPr>
                <w:b w:val="0"/>
                <w:i w:val="0"/>
                <w:sz w:val="20"/>
              </w:rPr>
              <w:t>Klebepunkte</w:t>
            </w:r>
          </w:p>
        </w:tc>
      </w:tr>
      <w:tr>
        <w:tc>
          <w:tcPr>
            <w:tcW w:type="dxa" w:w="2409"/>
            <w:vAlign w:val="top"/>
          </w:tcPr>
          <w:p>
            <w:pPr>
              <w:spacing w:after="40"/>
            </w:pPr>
            <w:r>
              <w:rPr>
                <w:b w:val="0"/>
                <w:i w:val="0"/>
                <w:sz w:val="20"/>
              </w:rPr>
              <w:t>66–82</w:t>
            </w:r>
          </w:p>
        </w:tc>
        <w:tc>
          <w:tcPr>
            <w:tcW w:type="dxa" w:w="2409"/>
            <w:vAlign w:val="top"/>
          </w:tcPr>
          <w:p>
            <w:pPr>
              <w:spacing w:after="40"/>
            </w:pPr>
            <w:r>
              <w:rPr>
                <w:b w:val="0"/>
                <w:i w:val="0"/>
                <w:sz w:val="20"/>
              </w:rPr>
              <w:t>Vergleich</w:t>
            </w:r>
          </w:p>
        </w:tc>
        <w:tc>
          <w:tcPr>
            <w:tcW w:type="dxa" w:w="2409"/>
            <w:vAlign w:val="top"/>
          </w:tcPr>
          <w:p>
            <w:pPr>
              <w:spacing w:after="40"/>
            </w:pPr>
            <w:r>
              <w:rPr>
                <w:b w:val="0"/>
                <w:i w:val="0"/>
                <w:sz w:val="20"/>
              </w:rPr>
              <w:t>NS und DDR nebeneinander — mit den Aufzeichnungen aus DS 2 bis 4</w:t>
            </w:r>
          </w:p>
        </w:tc>
        <w:tc>
          <w:tcPr>
            <w:tcW w:type="dxa" w:w="2409"/>
            <w:vAlign w:val="top"/>
          </w:tcPr>
          <w:p>
            <w:pPr>
              <w:spacing w:after="40"/>
            </w:pPr>
            <w:r>
              <w:rPr>
                <w:b w:val="0"/>
                <w:i w:val="0"/>
                <w:sz w:val="20"/>
              </w:rPr>
              <w:t>M22</w:t>
            </w:r>
          </w:p>
        </w:tc>
      </w:tr>
      <w:tr>
        <w:tc>
          <w:tcPr>
            <w:tcW w:type="dxa" w:w="2409"/>
            <w:vAlign w:val="top"/>
          </w:tcPr>
          <w:p>
            <w:pPr>
              <w:spacing w:after="40"/>
            </w:pPr>
            <w:r>
              <w:rPr>
                <w:b w:val="0"/>
                <w:i w:val="0"/>
                <w:sz w:val="20"/>
              </w:rPr>
              <w:t>82–90</w:t>
            </w:r>
          </w:p>
        </w:tc>
        <w:tc>
          <w:tcPr>
            <w:tcW w:type="dxa" w:w="2409"/>
            <w:vAlign w:val="top"/>
          </w:tcPr>
          <w:p>
            <w:pPr>
              <w:spacing w:after="40"/>
            </w:pPr>
            <w:r>
              <w:rPr>
                <w:b w:val="0"/>
                <w:i w:val="0"/>
                <w:sz w:val="20"/>
              </w:rPr>
              <w:t>Ausblick</w:t>
            </w:r>
          </w:p>
        </w:tc>
        <w:tc>
          <w:tcPr>
            <w:tcW w:type="dxa" w:w="2409"/>
            <w:vAlign w:val="top"/>
          </w:tcPr>
          <w:p>
            <w:pPr>
              <w:spacing w:after="40"/>
            </w:pPr>
            <w:r>
              <w:rPr>
                <w:b w:val="0"/>
                <w:i w:val="0"/>
                <w:sz w:val="20"/>
              </w:rPr>
              <w:t>Sprung in die Gegenwart, Ankündigung des Thesenanschlags</w:t>
            </w:r>
          </w:p>
        </w:tc>
        <w:tc>
          <w:tcPr>
            <w:tcW w:type="dxa" w:w="2409"/>
            <w:vAlign w:val="top"/>
          </w:tcPr>
          <w:p>
            <w:pPr>
              <w:spacing w:after="40"/>
            </w:pPr>
            <w:r>
              <w:rPr>
                <w:b w:val="0"/>
                <w:i w:val="0"/>
                <w:sz w:val="20"/>
              </w:rPr>
              <w:t>—</w:t>
            </w:r>
          </w:p>
        </w:tc>
      </w:tr>
    </w:tbl>
    <w:p>
      <w:pPr>
        <w:spacing w:before="40" w:after="160"/>
      </w:pPr>
    </w:p>
    <w:p>
      <w:pPr>
        <w:spacing w:before="160" w:after="160"/>
        <w:pBdr>
          <w:bottom w:val="single" w:sz="12" w:space="6" w:color="1E3A5F"/>
        </w:pBdr>
        <w:keepNext/>
      </w:pPr>
      <w:r>
        <w:rPr>
          <w:rFonts w:ascii="Consolas" w:hAnsi="Consolas"/>
          <w:b/>
          <w:color w:val="1E3A5F"/>
          <w:sz w:val="22"/>
        </w:rPr>
        <w:t>Regie</w:t>
      </w:r>
      <w:r>
        <w:rPr>
          <w:rFonts w:ascii="Consolas" w:hAnsi="Consolas"/>
          <w:color w:val="6B7280"/>
          <w:sz w:val="18"/>
        </w:rPr>
        <w:t xml:space="preserve">   Drei Hinweise</w:t>
      </w:r>
    </w:p>
    <w:p>
      <w:pPr>
        <w:spacing w:after="120"/>
      </w:pPr>
      <w:r>
        <w:rPr>
          <w:b/>
          <w:i w:val="0"/>
        </w:rPr>
        <w:t>Die Klebepunkte gehen auf die Fragen, nicht auf die Tafeln.</w:t>
      </w:r>
      <w:r>
        <w:rPr>
          <w:b w:val="0"/>
          <w:i w:val="0"/>
        </w:rPr>
        <w:t xml:space="preserve"> Sagen Sie das ausdrücklich: „Nicht auf die schönste Tafel. Auf die beste Frage.“ Damit belohnen Sie Nachdenken statt Layout — und die anschließende Besprechung der meistgeklebten Fragen ist die inhaltlich wertvollste Phase der Stunde. Sie darf überziehen.</w:t>
      </w:r>
    </w:p>
    <w:p>
      <w:pPr>
        <w:spacing w:after="120"/>
      </w:pPr>
      <w:r>
        <w:rPr>
          <w:b/>
          <w:i w:val="0"/>
        </w:rPr>
        <w:t>Differenzierung über die Themenvergabe.</w:t>
      </w:r>
      <w:r>
        <w:rPr>
          <w:b w:val="0"/>
          <w:i w:val="0"/>
        </w:rPr>
        <w:t xml:space="preserve"> Team E (Stasi in der Kirche) ist das anspruchsvollste, weil es um Schuld </w:t>
      </w:r>
      <w:r>
        <w:rPr>
          <w:b w:val="0"/>
          <w:i/>
        </w:rPr>
        <w:t>innerhalb</w:t>
      </w:r>
      <w:r>
        <w:rPr>
          <w:b w:val="0"/>
          <w:i w:val="0"/>
        </w:rPr>
        <w:t xml:space="preserve"> der Kirche geht und kein Heldenstück bietet — geben Sie es einer Gruppe, die Ambivalenz aushält. Team B (Jugendweihe) ist am zugänglichsten und eignet sich für eine Gruppe, die ein Erfolgserlebnis braucht.</w:t>
      </w:r>
    </w:p>
    <w:p>
      <w:pPr>
        <w:spacing w:after="120"/>
      </w:pPr>
      <w:r>
        <w:rPr>
          <w:b/>
          <w:i w:val="0"/>
        </w:rPr>
        <w:t>Die Belegregel laut ansagen.</w:t>
      </w:r>
      <w:r>
        <w:rPr>
          <w:b w:val="0"/>
          <w:i w:val="0"/>
        </w:rPr>
        <w:t xml:space="preserve"> „Zu jeder Behauptung auf Ihrer Tafel muss ich fragen dürfen: Wo steht das? — und Sie müssen es mir zeigen können.“ Das ist in einer Recherchestunde wichtiger als jede Inhaltsvorgabe.</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ERWARTUNGSHORIZONT FÜR DIE LETZTE ZEILE VON M22</w:t>
            </w:r>
          </w:p>
          <w:p>
            <w:pPr>
              <w:spacing w:after="80"/>
            </w:pPr>
            <w:r>
              <w:rPr>
                <w:b w:val="0"/>
                <w:i w:val="0"/>
              </w:rPr>
              <w:t xml:space="preserve">Die Frage lautet: </w:t>
            </w:r>
            <w:r>
              <w:rPr>
                <w:b w:val="0"/>
                <w:i/>
              </w:rPr>
              <w:t>Was hatte die Kirche 1989, was ihr 1933 fehlte?</w:t>
            </w:r>
            <w:r>
              <w:rPr>
                <w:b w:val="0"/>
                <w:i w:val="0"/>
              </w:rPr>
              <w:t xml:space="preserve"> Die Antwort, auf die es hinausläuft — aber die die Klasse selbst finden muss: </w:t>
            </w:r>
            <w:r>
              <w:rPr>
                <w:b/>
                <w:i w:val="0"/>
              </w:rPr>
              <w:t>die Erfahrung von 1933.</w:t>
            </w:r>
            <w:r>
              <w:rPr>
                <w:b w:val="0"/>
                <w:i w:val="0"/>
              </w:rPr>
              <w:t xml:space="preserve"> 1989 wusste die Kirche, wie es ausgeht, wenn man sich vereinnahmen lässt. Barmen war inzwischen ein Text, auf den man sich berufen konnte. Genau diese Lernfähigkeit ist die Brücke in Doppelstunde 6.</w:t>
            </w:r>
          </w:p>
        </w:tc>
      </w:tr>
    </w:tbl>
    <w:p>
      <w:pPr>
        <w:spacing w:after="120"/>
      </w:pP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VOR DER STUNDE PRÜFEN</w:t>
            </w:r>
          </w:p>
          <w:p>
            <w:pPr>
              <w:spacing w:after="80"/>
            </w:pPr>
            <w:r>
              <w:rPr>
                <w:b w:val="0"/>
                <w:i w:val="0"/>
              </w:rPr>
              <w:t>Auf der Input-Folie M20 stehen zwei Zahlen (Anteil der Jugendweihe-Teilnehmer, Rückgang der Kirchenmitgliedschaft). Setzen Sie diese Zahlen aus einer belegbaren Quelle ein und nennen Sie die Quelle auf der Folie — die Schülerinnen und Schüler sollen in dieser Stunde selbst Belege liefern, dann muss die Lehrkraft es vormachen.</w:t>
            </w:r>
          </w:p>
        </w:tc>
      </w:tr>
    </w:tbl>
    <w:p>
      <w:pPr>
        <w:spacing w:after="120"/>
      </w:pPr>
    </w:p>
    <w:p>
      <w:r>
        <w:br w:type="page"/>
      </w:r>
    </w:p>
    <w:p>
      <w:pPr>
        <w:spacing w:after="40"/>
        <w:keepNext/>
      </w:pPr>
      <w:r>
        <w:rPr>
          <w:rFonts w:ascii="Consolas" w:hAnsi="Consolas"/>
          <w:b/>
          <w:color w:val="1E3A5F"/>
          <w:sz w:val="18"/>
        </w:rPr>
        <w:t>M19 · PROJEKTION</w:t>
      </w:r>
    </w:p>
    <w:p>
      <w:pPr>
        <w:pStyle w:val="Heading1"/>
        <w:spacing w:after="160" w:before="200"/>
        <w:keepNext/>
      </w:pPr>
      <w:r>
        <w:rPr>
          <w:b w:val="0"/>
          <w:i w:val="0"/>
        </w:rPr>
        <w:t>Ein Stück Stoff, das gefährlich war</w:t>
      </w:r>
    </w:p>
    <w:p>
      <w:pPr>
        <w:spacing w:after="40"/>
        <w:shd w:val="clear" w:color="auto" w:fill="EFF1F4"/>
        <w:keepNext/>
      </w:pPr>
      <w:r>
        <w:rPr>
          <w:rFonts w:ascii="Consolas" w:hAnsi="Consolas"/>
          <w:b/>
          <w:color w:val="1E3A5F"/>
          <w:sz w:val="18"/>
        </w:rPr>
        <w:t>FOLIE M19</w:t>
      </w:r>
    </w:p>
    <w:p>
      <w:pPr>
        <w:spacing w:after="80"/>
        <w:jc w:val="center"/>
      </w:pPr>
      <w:r>
        <w:drawing>
          <wp:inline xmlns:a="http://schemas.openxmlformats.org/drawingml/2006/main" xmlns:pic="http://schemas.openxmlformats.org/drawingml/2006/picture">
            <wp:extent cx="5220000" cy="505687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20000" cy="5056875"/>
                    </a:xfrm>
                    <a:prstGeom prst="rect"/>
                  </pic:spPr>
                </pic:pic>
              </a:graphicData>
            </a:graphic>
          </wp:inline>
        </w:drawing>
      </w:r>
    </w:p>
    <w:p>
      <w:pPr>
        <w:spacing w:after="160"/>
        <w:jc w:val="center"/>
      </w:pPr>
      <w:r>
        <w:rPr>
          <w:i/>
          <w:color w:val="6B7280"/>
          <w:sz w:val="17"/>
        </w:rPr>
        <w:t>Bildbeschreibung: Rundes Emblem mit der Aufschrift Schwerter zu Pflugscharen. In der Mitte ein Schmied, der mit einem Hammer ein Schwert bearbeitet, daneben die Angabe Micha 4,3.</w:t>
      </w:r>
    </w:p>
    <w:p>
      <w:pPr>
        <w:spacing w:after="240"/>
      </w:pPr>
      <w:r>
        <w:rPr>
          <w:b/>
          <w:i w:val="0"/>
          <w:color w:val="4B5563"/>
          <w:sz w:val="19"/>
        </w:rPr>
        <w:t>Das Zeichen der kirchlichen Friedensbewegung in der DDR.</w:t>
      </w:r>
      <w:r>
        <w:rPr>
          <w:b w:val="0"/>
          <w:i w:val="0"/>
          <w:color w:val="4B5563"/>
          <w:sz w:val="19"/>
        </w:rPr>
        <w:t xml:space="preserve"> Als Aufnäher auf der Jacke konnte es Ärger in der Schule bedeuten — bis hin zur Verweigerung des Abiturs.</w:t>
      </w:r>
    </w:p>
    <w:p>
      <w:pPr>
        <w:spacing w:after="120"/>
      </w:pPr>
      <w:r>
        <w:rPr>
          <w:rFonts w:ascii="Cambria" w:hAnsi="Cambria"/>
          <w:b w:val="0"/>
          <w:i w:val="0"/>
          <w:sz w:val="26"/>
        </w:rPr>
        <w:t xml:space="preserve"> „Sie werden ihre Schwerter zu Pflugscharen und ihre Spieße zu Sicheln machen. Es wird kein Volk wider das andere das Schwert erheben, und sie werden hinfort nicht mehr lernen, Krieg zu führen.“ </w:t>
      </w:r>
    </w:p>
    <w:p>
      <w:pPr>
        <w:spacing w:after="120"/>
      </w:pPr>
      <w:r>
        <w:rPr>
          <w:rFonts w:ascii="Consolas" w:hAnsi="Consolas"/>
          <w:b w:val="0"/>
          <w:i w:val="0"/>
          <w:color w:val="6B7280"/>
          <w:sz w:val="17"/>
        </w:rPr>
        <w:t>Micha 4,3 · Lutherbibel 2017</w:t>
      </w:r>
    </w:p>
    <w:p>
      <w:pPr>
        <w:spacing w:after="240"/>
      </w:pPr>
      <w:r>
        <w:rPr>
          <w:b/>
          <w:i w:val="0"/>
          <w:color w:val="4B5563"/>
          <w:sz w:val="19"/>
        </w:rPr>
        <w:t>Der Bibelvers,</w:t>
      </w:r>
      <w:r>
        <w:rPr>
          <w:b w:val="0"/>
          <w:i w:val="0"/>
          <w:color w:val="4B5563"/>
          <w:sz w:val="19"/>
        </w:rPr>
        <w:t xml:space="preserve"> der auf dem Emblem genannt wird. Er stammt aus dem 8. Jahrhundert vor Christus.</w:t>
      </w:r>
    </w:p>
    <w:p>
      <w:pPr>
        <w:spacing w:after="40"/>
        <w:shd w:val="clear" w:color="auto" w:fill="E5ECF4"/>
        <w:keepNext/>
      </w:pPr>
      <w:r>
        <w:rPr>
          <w:rFonts w:ascii="Consolas" w:hAnsi="Consolas"/>
          <w:b/>
          <w:color w:val="1E3A5F"/>
          <w:sz w:val="18"/>
        </w:rPr>
        <w:t>ARBEITSAUFTRAG · PLENUM, 7 MINUTEN</w:t>
      </w:r>
    </w:p>
    <w:p>
      <w:pPr>
        <w:pStyle w:val="ListNumber"/>
        <w:spacing w:after="60"/>
        <w:numPr>
          <w:ilvl w:val="0"/>
          <w:numId w:val="10"/>
        </w:numPr>
      </w:pPr>
      <w:r>
        <w:rPr>
          <w:b w:val="0"/>
          <w:i w:val="0"/>
        </w:rPr>
        <w:t xml:space="preserve">Beschreibt, was auf dem Bild passiert. Was wird da gerade </w:t>
      </w:r>
      <w:r>
        <w:rPr>
          <w:b w:val="0"/>
          <w:i/>
        </w:rPr>
        <w:t>aus</w:t>
      </w:r>
      <w:r>
        <w:rPr>
          <w:b w:val="0"/>
          <w:i w:val="0"/>
        </w:rPr>
        <w:t xml:space="preserve"> was gemacht?</w:t>
      </w:r>
    </w:p>
    <w:p>
      <w:pPr>
        <w:pStyle w:val="ListNumber"/>
        <w:spacing w:after="60"/>
        <w:numPr>
          <w:ilvl w:val="0"/>
          <w:numId w:val="10"/>
        </w:numPr>
      </w:pPr>
      <w:r>
        <w:rPr>
          <w:b w:val="0"/>
          <w:i w:val="0"/>
        </w:rPr>
        <w:t>Lest den Bibelvers. Passt er zum Bild?</w:t>
      </w:r>
    </w:p>
    <w:p>
      <w:pPr>
        <w:pStyle w:val="ListNumber"/>
        <w:spacing w:after="60"/>
        <w:numPr>
          <w:ilvl w:val="0"/>
          <w:numId w:val="10"/>
        </w:numPr>
      </w:pPr>
      <w:r>
        <w:rPr>
          <w:b w:val="0"/>
          <w:i w:val="0"/>
        </w:rPr>
        <w:t xml:space="preserve">Behauptung zum Prüfen: </w:t>
      </w:r>
      <w:r>
        <w:rPr>
          <w:b w:val="0"/>
          <w:i/>
        </w:rPr>
        <w:t>„Jugendliche, die diesen Aufnäher 1982 in der DDR auf der Jacke trugen, konnten von der Schule fliegen.“</w:t>
      </w:r>
      <w:r>
        <w:rPr>
          <w:b w:val="0"/>
          <w:i w:val="0"/>
        </w:rPr>
        <w:t xml:space="preserve"> — Warum sollte ein Staat Angst vor einem Zeichen haben, das zum Frieden aufruft?</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AUFLÖSUNG FÜR DIE LEHRKRAFT — UND DER WITZ AN DER SACHE</w:t>
            </w:r>
          </w:p>
          <w:p>
            <w:pPr>
              <w:spacing w:after="80"/>
            </w:pPr>
            <w:r>
              <w:rPr>
                <w:b w:val="0"/>
                <w:i w:val="0"/>
              </w:rPr>
              <w:t xml:space="preserve">Das Motiv geht auf eine Bronzeplastik zurück, die die </w:t>
            </w:r>
            <w:r>
              <w:rPr>
                <w:b/>
                <w:i w:val="0"/>
              </w:rPr>
              <w:t>Sowjetunion 1959 den Vereinten Nationen geschenkt</w:t>
            </w:r>
            <w:r>
              <w:rPr>
                <w:b w:val="0"/>
                <w:i w:val="0"/>
              </w:rPr>
              <w:t xml:space="preserve"> hat. Der DDR-Staat konnte das Bild also schlecht offen verbieten, ohne sich selbst zu widersprechen — er ging trotzdem gegen die Trägerinnen und Träger vor. Genau daran lässt sich zeigen, wie ein Staat mit Symbolen umgeht, die er nicht kontrollieren kann.</w:t>
            </w:r>
          </w:p>
        </w:tc>
      </w:tr>
    </w:tbl>
    <w:p>
      <w:pPr>
        <w:spacing w:after="120"/>
      </w:pPr>
    </w:p>
    <w:p>
      <w:r>
        <w:br w:type="page"/>
      </w:r>
    </w:p>
    <w:p>
      <w:pPr>
        <w:spacing w:after="40"/>
        <w:keepNext/>
      </w:pPr>
      <w:r>
        <w:rPr>
          <w:rFonts w:ascii="Consolas" w:hAnsi="Consolas"/>
          <w:b/>
          <w:color w:val="1E3A5F"/>
          <w:sz w:val="18"/>
        </w:rPr>
        <w:t>M20 · PROJEKTION · LEHRERVORTRAG, 10 MINUTEN</w:t>
      </w:r>
    </w:p>
    <w:p>
      <w:pPr>
        <w:spacing w:before="160" w:after="160"/>
        <w:pBdr>
          <w:bottom w:val="single" w:sz="12" w:space="6" w:color="1E3A5F"/>
        </w:pBdr>
        <w:keepNext/>
      </w:pPr>
      <w:r>
        <w:rPr>
          <w:rFonts w:ascii="Consolas" w:hAnsi="Consolas"/>
          <w:b/>
          <w:color w:val="1E3A5F"/>
          <w:sz w:val="22"/>
        </w:rPr>
        <w:t>M20</w:t>
      </w:r>
      <w:r>
        <w:rPr>
          <w:rFonts w:ascii="Consolas" w:hAnsi="Consolas"/>
          <w:color w:val="6B7280"/>
          <w:sz w:val="18"/>
        </w:rPr>
        <w:t xml:space="preserve">   Kirche im Sozialismus</w:t>
      </w:r>
    </w:p>
    <w:p>
      <w:pPr>
        <w:pStyle w:val="Heading2"/>
        <w:spacing w:after="160" w:before="200"/>
        <w:keepNext/>
      </w:pPr>
      <w:r>
        <w:rPr>
          <w:b w:val="0"/>
          <w:i w:val="0"/>
        </w:rPr>
        <w:t>Fünf Punkte — mehr nicht</w:t>
      </w:r>
    </w:p>
    <w:p>
      <w:pPr>
        <w:spacing w:after="120"/>
      </w:pPr>
      <w:r>
        <w:rPr>
          <w:b/>
          <w:i w:val="0"/>
        </w:rPr>
        <w:t>1 · Der Staat ist atheistisch, die Kirche wird geduldet.</w:t>
      </w:r>
      <w:r>
        <w:rPr>
          <w:b w:val="0"/>
          <w:i w:val="0"/>
        </w:rPr>
        <w:t xml:space="preserve"> Die DDR verstand sich als weltanschaulich marxistisch. Religion galt als Rest der Vergangenheit, der von selbst verschwinden werde. Verboten wurde die Kirche nicht — sie wurde an den Rand gedrängt.</w:t>
      </w:r>
    </w:p>
    <w:p>
      <w:pPr>
        <w:spacing w:after="120"/>
      </w:pPr>
      <w:r>
        <w:rPr>
          <w:b/>
          <w:i w:val="0"/>
        </w:rPr>
        <w:t>2 · Wer in der Kirche aktiv ist, kommt oft nicht weiter.</w:t>
      </w:r>
      <w:r>
        <w:rPr>
          <w:b w:val="0"/>
          <w:i w:val="0"/>
        </w:rPr>
        <w:t xml:space="preserve"> Junge Christinnen und Christen wurden bei der Zulassung zur Erweiterten Oberschule und damit zum Abitur benachteiligt. Der Preis für Überzeugung war die eigene Zukunft.</w:t>
      </w:r>
    </w:p>
    <w:p>
      <w:pPr>
        <w:spacing w:after="120"/>
      </w:pPr>
      <w:r>
        <w:rPr>
          <w:b/>
          <w:i w:val="0"/>
        </w:rPr>
        <w:t>3 · Jugendweihe statt Konfirmation.</w:t>
      </w:r>
      <w:r>
        <w:rPr>
          <w:b w:val="0"/>
          <w:i w:val="0"/>
        </w:rPr>
        <w:t xml:space="preserve"> Der Staat schuf mit der Jugendweihe ein eigenes Übergangsritual. Die Teilnahme war formal freiwillig und faktisch fast unumgänglich. Wer sich verweigerte, fiel auf.</w:t>
      </w:r>
    </w:p>
    <w:p>
      <w:pPr>
        <w:spacing w:after="120"/>
      </w:pPr>
      <w:r>
        <w:rPr>
          <w:b/>
          <w:i w:val="0"/>
        </w:rPr>
        <w:t>4 · Die Formel von 1971: „Kirche im Sozialismus“.</w:t>
      </w:r>
      <w:r>
        <w:rPr>
          <w:b w:val="0"/>
          <w:i w:val="0"/>
        </w:rPr>
        <w:t xml:space="preserve"> Nicht gegen den Staat, nicht für ihn, sondern in ihm. Ein Versuch, sich Freiräume zu sichern, ohne sich vereinnahmen zu lassen — und bis heute umstritten: War das kluges Überleben oder zu viel Anpassung?</w:t>
      </w:r>
    </w:p>
    <w:p>
      <w:pPr>
        <w:spacing w:after="120"/>
      </w:pPr>
      <w:r>
        <w:rPr>
          <w:b/>
          <w:i w:val="0"/>
        </w:rPr>
        <w:t>5 · Die Staatssicherheit ist mit drin.</w:t>
      </w:r>
      <w:r>
        <w:rPr>
          <w:b w:val="0"/>
          <w:i w:val="0"/>
        </w:rPr>
        <w:t xml:space="preserve"> Die Stasi setzte Inoffizielle Mitarbeiter bis in kirchliche Leitungsämter ein. Nach 1990 stellte sich heraus, dass auch Pfarrer über die eigene Gemeinde berichtet hatten.</w:t>
      </w: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DER EINE SATZ, DER HÄNGEN BLEIBEN SOLL</w:t>
            </w:r>
          </w:p>
          <w:p>
            <w:pPr>
              <w:spacing w:after="80"/>
            </w:pPr>
            <w:r>
              <w:rPr>
                <w:b w:val="0"/>
                <w:i w:val="0"/>
              </w:rPr>
              <w:t>Die Kirche war in der DDR der einzige Ort, an dem man Sätze sagen durfte, die sonst nirgends erlaubt waren. Das machte sie kostbar — und für den Staat zu einem Problem, das er nicht einfach zerschlagen konnte.</w:t>
            </w:r>
          </w:p>
        </w:tc>
      </w:tr>
    </w:tbl>
    <w:p>
      <w:pPr>
        <w:spacing w:after="120"/>
      </w:pP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AUF DIESER FOLIE ERGÄNZEN</w:t>
            </w:r>
          </w:p>
          <w:p>
            <w:pPr>
              <w:spacing w:after="80"/>
            </w:pPr>
            <w:r>
              <w:rPr>
                <w:b w:val="0"/>
                <w:i w:val="0"/>
              </w:rPr>
              <w:t xml:space="preserve">Zwei belegte Zahlen einsetzen — Anteil der Jugendlichen mit Jugendweihe in den 1980er Jahren und Entwicklung der Kirchenmitgliedschaft in der DDR — jeweils </w:t>
            </w:r>
            <w:r>
              <w:rPr>
                <w:b/>
                <w:i w:val="0"/>
              </w:rPr>
              <w:t>mit Quelle und Erhebungsjahr auf der Folie</w:t>
            </w:r>
            <w:r>
              <w:rPr>
                <w:b w:val="0"/>
                <w:i w:val="0"/>
              </w:rPr>
              <w:t>.</w:t>
            </w:r>
          </w:p>
        </w:tc>
      </w:tr>
    </w:tbl>
    <w:p>
      <w:pPr>
        <w:spacing w:after="120"/>
      </w:pPr>
    </w:p>
    <w:p>
      <w:r>
        <w:br w:type="page"/>
      </w:r>
    </w:p>
    <w:p>
      <w:pPr>
        <w:spacing w:after="40"/>
        <w:keepNext/>
      </w:pPr>
      <w:r>
        <w:rPr>
          <w:rFonts w:ascii="Consolas" w:hAnsi="Consolas"/>
          <w:b/>
          <w:color w:val="1E3A5F"/>
          <w:sz w:val="18"/>
        </w:rPr>
        <w:t>M21 · KOPIERVORLAGE · JE EINE KARTE PRO REDAKTIONSTEAM</w:t>
      </w:r>
    </w:p>
    <w:p>
      <w:pPr>
        <w:pStyle w:val="Heading1"/>
        <w:spacing w:after="160" w:before="200"/>
        <w:keepNext/>
      </w:pPr>
      <w:r>
        <w:rPr>
          <w:b w:val="0"/>
          <w:i w:val="0"/>
        </w:rPr>
        <w:t>Fünf Themen für die Ausstellung 1989</w:t>
      </w:r>
    </w:p>
    <w:p>
      <w:pPr>
        <w:spacing w:after="120"/>
      </w:pPr>
      <w:r>
        <w:rPr>
          <w:b w:val="0"/>
          <w:i w:val="0"/>
        </w:rPr>
        <w:t>Alle Teams haben denselben Auftrag und dieselben Startquellen. Nur das Thema unterscheidet sich. Der Auftrag steht auf jeder Karte, damit keine Gruppe nachfragen muss.</w:t>
      </w:r>
    </w:p>
    <w:p>
      <w:pPr>
        <w:spacing w:before="160" w:after="160"/>
        <w:pBdr>
          <w:bottom w:val="single" w:sz="12" w:space="6" w:color="1E3A5F"/>
        </w:pBdr>
        <w:keepNext/>
      </w:pPr>
      <w:r>
        <w:rPr>
          <w:rFonts w:ascii="Consolas" w:hAnsi="Consolas"/>
          <w:b/>
          <w:color w:val="1E3A5F"/>
          <w:sz w:val="22"/>
        </w:rPr>
        <w:t>M21 · Auftrag für alle Teams</w:t>
      </w:r>
      <w:r>
        <w:rPr>
          <w:rFonts w:ascii="Consolas" w:hAnsi="Consolas"/>
          <w:color w:val="6B7280"/>
          <w:sz w:val="18"/>
        </w:rPr>
        <w:t xml:space="preserve">   Ausstellung „Kirche in der DDR“ · Doppelstunde 5</w:t>
      </w:r>
    </w:p>
    <w:p>
      <w:pPr>
        <w:spacing w:after="40"/>
        <w:shd w:val="clear" w:color="auto" w:fill="E5ECF4"/>
        <w:keepNext/>
      </w:pPr>
      <w:r>
        <w:rPr>
          <w:rFonts w:ascii="Consolas" w:hAnsi="Consolas"/>
          <w:b/>
          <w:color w:val="1E3A5F"/>
          <w:sz w:val="18"/>
        </w:rPr>
        <w:t>ARBEITSAUFTRAG · GRUPPE, 30 MINUTEN</w:t>
      </w:r>
    </w:p>
    <w:p>
      <w:pPr>
        <w:spacing w:after="120"/>
      </w:pPr>
      <w:r>
        <w:rPr>
          <w:b w:val="0"/>
          <w:i w:val="0"/>
        </w:rPr>
        <w:t xml:space="preserve">Gestaltet eine Ausstellungstafel auf A3. Sie muss </w:t>
      </w:r>
      <w:r>
        <w:rPr>
          <w:b/>
          <w:i w:val="0"/>
        </w:rPr>
        <w:t>genau diese sechs Bestandteile</w:t>
      </w:r>
      <w:r>
        <w:rPr>
          <w:b w:val="0"/>
          <w:i w:val="0"/>
        </w:rPr>
        <w:t xml:space="preserve"> haben:</w:t>
      </w:r>
    </w:p>
    <w:p>
      <w:pPr>
        <w:pStyle w:val="ListNumber"/>
        <w:spacing w:after="60"/>
        <w:numPr>
          <w:ilvl w:val="0"/>
          <w:numId w:val="11"/>
        </w:numPr>
      </w:pPr>
      <w:r>
        <w:rPr>
          <w:b w:val="0"/>
          <w:i w:val="0"/>
        </w:rPr>
        <w:t xml:space="preserve">Eine </w:t>
      </w:r>
      <w:r>
        <w:rPr>
          <w:b/>
          <w:i w:val="0"/>
        </w:rPr>
        <w:t>Überschrift</w:t>
      </w:r>
      <w:r>
        <w:rPr>
          <w:b w:val="0"/>
          <w:i w:val="0"/>
        </w:rPr>
        <w:t>, die neugierig macht und nichts verrät.</w:t>
      </w:r>
    </w:p>
    <w:p>
      <w:pPr>
        <w:pStyle w:val="ListNumber"/>
        <w:spacing w:after="60"/>
        <w:numPr>
          <w:ilvl w:val="0"/>
          <w:numId w:val="11"/>
        </w:numPr>
      </w:pPr>
      <w:r>
        <w:rPr>
          <w:b w:val="0"/>
          <w:i w:val="0"/>
        </w:rPr>
        <w:t xml:space="preserve">Eine </w:t>
      </w:r>
      <w:r>
        <w:rPr>
          <w:b/>
          <w:i w:val="0"/>
        </w:rPr>
        <w:t>Jahreszahl</w:t>
      </w:r>
      <w:r>
        <w:rPr>
          <w:b w:val="0"/>
          <w:i w:val="0"/>
        </w:rPr>
        <w:t xml:space="preserve"> oder Zeitspanne, groß.</w:t>
      </w:r>
    </w:p>
    <w:p>
      <w:pPr>
        <w:pStyle w:val="ListNumber"/>
        <w:spacing w:after="60"/>
        <w:numPr>
          <w:ilvl w:val="0"/>
          <w:numId w:val="11"/>
        </w:numPr>
      </w:pPr>
      <w:r>
        <w:rPr>
          <w:b/>
          <w:i w:val="0"/>
        </w:rPr>
        <w:t>Fünf Sätze</w:t>
      </w:r>
      <w:r>
        <w:rPr>
          <w:b w:val="0"/>
          <w:i w:val="0"/>
        </w:rPr>
        <w:t>, die erklären, was passiert ist. Nicht sechs.</w:t>
      </w:r>
    </w:p>
    <w:p>
      <w:pPr>
        <w:pStyle w:val="ListNumber"/>
        <w:spacing w:after="60"/>
        <w:numPr>
          <w:ilvl w:val="0"/>
          <w:numId w:val="11"/>
        </w:numPr>
      </w:pPr>
      <w:r>
        <w:rPr>
          <w:b w:val="0"/>
          <w:i w:val="0"/>
        </w:rPr>
        <w:t xml:space="preserve">Ein </w:t>
      </w:r>
      <w:r>
        <w:rPr>
          <w:b/>
          <w:i w:val="0"/>
        </w:rPr>
        <w:t>Originalzitat</w:t>
      </w:r>
      <w:r>
        <w:rPr>
          <w:b w:val="0"/>
          <w:i w:val="0"/>
        </w:rPr>
        <w:t xml:space="preserve"> eines beteiligten Menschen, mit Namen.</w:t>
      </w:r>
    </w:p>
    <w:p>
      <w:pPr>
        <w:pStyle w:val="ListNumber"/>
        <w:spacing w:after="60"/>
        <w:numPr>
          <w:ilvl w:val="0"/>
          <w:numId w:val="11"/>
        </w:numPr>
      </w:pPr>
      <w:r>
        <w:rPr>
          <w:b w:val="0"/>
          <w:i w:val="0"/>
        </w:rPr>
        <w:t xml:space="preserve">Eine </w:t>
      </w:r>
      <w:r>
        <w:rPr>
          <w:b/>
          <w:i w:val="0"/>
        </w:rPr>
        <w:t>Bildidee</w:t>
      </w:r>
      <w:r>
        <w:rPr>
          <w:b w:val="0"/>
          <w:i w:val="0"/>
        </w:rPr>
        <w:t>: Beschreibt in einem Satz, welches Foto hier hängen müsste, und notiert, wo ihr es gefunden habt.</w:t>
      </w:r>
    </w:p>
    <w:p>
      <w:pPr>
        <w:pStyle w:val="ListNumber"/>
        <w:spacing w:after="60"/>
        <w:numPr>
          <w:ilvl w:val="0"/>
          <w:numId w:val="11"/>
        </w:numPr>
      </w:pPr>
      <w:r>
        <w:rPr>
          <w:b w:val="0"/>
          <w:i w:val="0"/>
        </w:rPr>
        <w:t xml:space="preserve">Eine </w:t>
      </w:r>
      <w:r>
        <w:rPr>
          <w:b/>
          <w:i w:val="0"/>
        </w:rPr>
        <w:t>offene Frage</w:t>
      </w:r>
      <w:r>
        <w:rPr>
          <w:b w:val="0"/>
          <w:i w:val="0"/>
        </w:rPr>
        <w:t xml:space="preserve"> am unteren Rand, auf die ihr selbst keine sichere Antwort habt.</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STARTQUELLEN FÜR ALLE TEAMS</w:t>
            </w:r>
          </w:p>
          <w:p>
            <w:pPr>
              <w:spacing w:after="60"/>
              <w:ind w:left="340"/>
            </w:pPr>
            <w:r>
              <w:rPr>
                <w:b/>
              </w:rPr>
              <w:t xml:space="preserve">1. </w:t>
            </w:r>
            <w:r>
              <w:rPr>
                <w:b/>
                <w:i w:val="0"/>
              </w:rPr>
              <w:t>LeMO</w:t>
            </w:r>
            <w:r>
              <w:rPr>
                <w:b w:val="0"/>
                <w:i w:val="0"/>
              </w:rPr>
              <w:t xml:space="preserve"> des Deutschen Historischen Museums — dhm.de/lemo</w:t>
            </w:r>
          </w:p>
          <w:p>
            <w:pPr>
              <w:spacing w:after="60"/>
              <w:ind w:left="340"/>
            </w:pPr>
            <w:r>
              <w:rPr>
                <w:b/>
              </w:rPr>
              <w:t xml:space="preserve">2. </w:t>
            </w:r>
            <w:r>
              <w:rPr>
                <w:b/>
                <w:i w:val="0"/>
              </w:rPr>
              <w:t>Bundesstiftung Aufarbeitung</w:t>
            </w:r>
            <w:r>
              <w:rPr>
                <w:b w:val="0"/>
                <w:i w:val="0"/>
              </w:rPr>
              <w:t xml:space="preserve"> — bundesstiftung-aufarbeitung.de</w:t>
            </w:r>
          </w:p>
        </w:tc>
      </w:tr>
    </w:tbl>
    <w:p>
      <w:pPr>
        <w:spacing w:after="120"/>
      </w:pPr>
      <w:r>
        <w:rPr>
          <w:rFonts w:ascii="Consolas" w:hAnsi="Consolas"/>
          <w:b/>
          <w:i w:val="0"/>
          <w:color w:val="4B5563"/>
          <w:sz w:val="18"/>
        </w:rPr>
        <w:t>Regel:</w:t>
      </w:r>
      <w:r>
        <w:rPr>
          <w:rFonts w:ascii="Consolas" w:hAnsi="Consolas"/>
          <w:b w:val="0"/>
          <w:i w:val="0"/>
          <w:color w:val="4B5563"/>
          <w:sz w:val="18"/>
        </w:rPr>
        <w:t xml:space="preserve"> Wikipedia darf der Einstieg sein, aber nicht die einzige Quelle auf eurer Tafel. Zu jeder Behauptung müsst ihr zeigen können, wo sie steht.</w:t>
      </w:r>
    </w:p>
    <w:p>
      <w:pPr>
        <w:spacing w:after="120"/>
      </w:pPr>
    </w:p>
    <w:p>
      <w:r>
        <w:br w:type="page"/>
      </w:r>
    </w:p>
    <w:p>
      <w:pPr>
        <w:spacing w:after="40"/>
        <w:keepNext/>
      </w:pPr>
      <w:r>
        <w:rPr>
          <w:rFonts w:ascii="Consolas" w:hAnsi="Consolas"/>
          <w:b/>
          <w:color w:val="1E3A5F"/>
          <w:sz w:val="18"/>
        </w:rPr>
        <w:t>M21A–E · AUSSCHNEIDEN UND AUSTEILEN</w:t>
      </w:r>
    </w:p>
    <w:p>
      <w:pPr>
        <w:spacing w:before="160" w:after="160"/>
        <w:pBdr>
          <w:bottom w:val="single" w:sz="12" w:space="6" w:color="1E3A5F"/>
        </w:pBdr>
        <w:keepNext/>
      </w:pPr>
      <w:r>
        <w:rPr>
          <w:rFonts w:ascii="Consolas" w:hAnsi="Consolas"/>
          <w:b/>
          <w:color w:val="1E3A5F"/>
          <w:sz w:val="22"/>
        </w:rPr>
        <w:t>M21a · Team A</w:t>
      </w:r>
      <w:r>
        <w:rPr>
          <w:rFonts w:ascii="Consolas" w:hAnsi="Consolas"/>
          <w:color w:val="6B7280"/>
          <w:sz w:val="18"/>
        </w:rPr>
        <w:t xml:space="preserve">   Ausstellung „Kirche in der DDR“</w:t>
      </w:r>
    </w:p>
    <w:p>
      <w:pPr>
        <w:pStyle w:val="Heading2"/>
        <w:spacing w:after="160" w:before="200"/>
        <w:keepNext/>
      </w:pPr>
      <w:r>
        <w:rPr>
          <w:b w:val="0"/>
          <w:i w:val="0"/>
        </w:rPr>
        <w:t>Die Friedensgebete in der Leipziger Nikolaikirche</w:t>
      </w:r>
    </w:p>
    <w:p>
      <w:pPr>
        <w:spacing w:after="120"/>
      </w:pPr>
      <w:r>
        <w:rPr>
          <w:b w:val="0"/>
          <w:i w:val="0"/>
        </w:rPr>
        <w:t xml:space="preserve">Seit 1982 fanden in der Nikolaikirche montags Friedensgebete statt — anfangs mit wenigen Teilnehmern. Im Herbst 1989 kamen Tausende, und aus den Gebeten wurden die Montagsdemonstrationen. Der entscheidende Tag ist der </w:t>
      </w:r>
      <w:r>
        <w:rPr>
          <w:b/>
          <w:i w:val="0"/>
        </w:rPr>
        <w:t>9. Oktober 1989</w:t>
      </w:r>
      <w:r>
        <w:rPr>
          <w:b w:val="0"/>
          <w:i w:val="0"/>
        </w:rPr>
        <w:t>: Rund 70.000 Menschen zogen mit Kerzen in den Händen durch Leipzig. Sicherheitskräfte standen bereit, es wurde nicht geschossen.</w:t>
      </w:r>
    </w:p>
    <w:p>
      <w:pPr>
        <w:spacing w:after="120"/>
      </w:pPr>
      <w:r>
        <w:rPr>
          <w:b w:val="0"/>
          <w:i w:val="0"/>
        </w:rPr>
        <w:t xml:space="preserve">Der Satz, der über diesen Abend überliefert ist und den ein Verantwortlicher später gesagt haben soll: </w:t>
      </w:r>
      <w:r>
        <w:rPr>
          <w:b w:val="0"/>
          <w:i/>
        </w:rPr>
        <w:t>„Wir hatten alles geplant. Wir waren auf alles vorbereitet. Nur nicht auf Kerzen und Gebete.“</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WAS IHR KLÄREN MÜSST</w:t>
            </w:r>
          </w:p>
          <w:p>
            <w:pPr>
              <w:spacing w:after="60"/>
              <w:ind w:left="340"/>
            </w:pPr>
            <w:r>
              <w:rPr>
                <w:b/>
              </w:rPr>
              <w:t xml:space="preserve">1. </w:t>
            </w:r>
            <w:r>
              <w:rPr>
                <w:b w:val="0"/>
                <w:i w:val="0"/>
              </w:rPr>
              <w:t xml:space="preserve">Warum brauchte man </w:t>
            </w:r>
            <w:r>
              <w:rPr>
                <w:b/>
                <w:i w:val="0"/>
              </w:rPr>
              <w:t>zwei Hände</w:t>
            </w:r>
            <w:r>
              <w:rPr>
                <w:b w:val="0"/>
                <w:i w:val="0"/>
              </w:rPr>
              <w:t xml:space="preserve"> für eine Kerze — und was hat das mit Gewaltfreiheit zu tun?</w:t>
            </w:r>
          </w:p>
          <w:p>
            <w:pPr>
              <w:spacing w:after="60"/>
              <w:ind w:left="340"/>
            </w:pPr>
            <w:r>
              <w:rPr>
                <w:b/>
              </w:rPr>
              <w:t xml:space="preserve">2. </w:t>
            </w:r>
            <w:r>
              <w:rPr>
                <w:b w:val="0"/>
                <w:i w:val="0"/>
              </w:rPr>
              <w:t>Wer durfte in die Kirche, und wer stand draußen?</w:t>
            </w:r>
          </w:p>
          <w:p>
            <w:pPr>
              <w:spacing w:after="60"/>
              <w:ind w:left="340"/>
            </w:pPr>
            <w:r>
              <w:rPr>
                <w:b/>
              </w:rPr>
              <w:t xml:space="preserve">3. </w:t>
            </w:r>
            <w:r>
              <w:rPr>
                <w:b w:val="0"/>
                <w:i w:val="0"/>
              </w:rPr>
              <w:t>Prüft das Zitat oben nach: Wer soll es gesagt haben, und wie sicher ist die Überlieferung?</w:t>
            </w:r>
          </w:p>
        </w:tc>
      </w:tr>
    </w:tbl>
    <w:p>
      <w:pPr>
        <w:spacing w:after="120"/>
      </w:pPr>
    </w:p>
    <w:p>
      <w:pPr>
        <w:spacing w:before="160" w:after="160"/>
        <w:pBdr>
          <w:bottom w:val="single" w:sz="12" w:space="6" w:color="1E3A5F"/>
        </w:pBdr>
        <w:keepNext/>
      </w:pPr>
      <w:r>
        <w:rPr>
          <w:rFonts w:ascii="Consolas" w:hAnsi="Consolas"/>
          <w:b/>
          <w:color w:val="1E3A5F"/>
          <w:sz w:val="22"/>
        </w:rPr>
        <w:t>M21b · Team B</w:t>
      </w:r>
      <w:r>
        <w:rPr>
          <w:rFonts w:ascii="Consolas" w:hAnsi="Consolas"/>
          <w:color w:val="6B7280"/>
          <w:sz w:val="18"/>
        </w:rPr>
        <w:t xml:space="preserve">   Ausstellung „Kirche in der DDR“</w:t>
      </w:r>
    </w:p>
    <w:p>
      <w:pPr>
        <w:pStyle w:val="Heading2"/>
        <w:spacing w:after="160" w:before="200"/>
        <w:keepNext/>
      </w:pPr>
      <w:r>
        <w:rPr>
          <w:b w:val="0"/>
          <w:i w:val="0"/>
        </w:rPr>
        <w:t>Jugendweihe oder Konfirmation</w:t>
      </w:r>
    </w:p>
    <w:p>
      <w:pPr>
        <w:spacing w:after="120"/>
      </w:pPr>
      <w:r>
        <w:rPr>
          <w:b w:val="0"/>
          <w:i w:val="0"/>
        </w:rPr>
        <w:t>Die Jugendweihe war das staatliche Übergangsritual für Vierzehnjährige: ein feierliches Gelöbnis, ein Fest, Geschenke. Sie war offiziell freiwillig. Wer nicht teilnahm, machte das öffentlich sichtbar — und musste mit Nachteilen rechnen, etwa bei der Zulassung zum Abitur oder bei der Lehrstelle.</w:t>
      </w:r>
    </w:p>
    <w:p>
      <w:pPr>
        <w:spacing w:after="120"/>
      </w:pPr>
      <w:r>
        <w:rPr>
          <w:b w:val="0"/>
          <w:i w:val="0"/>
        </w:rPr>
        <w:t>Für christliche Familien war das eine Zwickmühle: Konfirmation und Jugendweihe galten als unvereinbar, und die Kirche verweigerte zeitweise die Konfirmation, wenn jemand zur Jugendweihe ging. Die Entscheidung lag damit bei Vierzehnjährigen und ihren Eltern.</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WAS IHR KLÄREN MÜSST</w:t>
            </w:r>
          </w:p>
          <w:p>
            <w:pPr>
              <w:spacing w:after="60"/>
              <w:ind w:left="340"/>
            </w:pPr>
            <w:r>
              <w:rPr>
                <w:b/>
              </w:rPr>
              <w:t xml:space="preserve">1. </w:t>
            </w:r>
            <w:r>
              <w:rPr>
                <w:b w:val="0"/>
                <w:i w:val="0"/>
              </w:rPr>
              <w:t>Was genau wurde bei der Jugendweihe gelobt? Sucht den Wortlaut des Gelöbnisses.</w:t>
            </w:r>
          </w:p>
          <w:p>
            <w:pPr>
              <w:spacing w:after="60"/>
              <w:ind w:left="340"/>
            </w:pPr>
            <w:r>
              <w:rPr>
                <w:b/>
              </w:rPr>
              <w:t xml:space="preserve">2. </w:t>
            </w:r>
            <w:r>
              <w:rPr>
                <w:b w:val="0"/>
                <w:i w:val="0"/>
              </w:rPr>
              <w:t>Welche konkreten Nachteile drohten denen, die nicht teilnahmen?</w:t>
            </w:r>
          </w:p>
          <w:p>
            <w:pPr>
              <w:spacing w:after="60"/>
              <w:ind w:left="340"/>
            </w:pPr>
            <w:r>
              <w:rPr>
                <w:b/>
              </w:rPr>
              <w:t xml:space="preserve">3. </w:t>
            </w:r>
            <w:r>
              <w:rPr>
                <w:b w:val="0"/>
                <w:i w:val="0"/>
              </w:rPr>
              <w:t>Gibt es die Jugendweihe heute noch? Wenn ja, wo und in welcher Form?</w:t>
            </w:r>
          </w:p>
        </w:tc>
      </w:tr>
    </w:tbl>
    <w:p>
      <w:pPr>
        <w:spacing w:after="120"/>
      </w:pPr>
    </w:p>
    <w:p>
      <w:pPr>
        <w:spacing w:before="160" w:after="160"/>
        <w:pBdr>
          <w:bottom w:val="single" w:sz="12" w:space="6" w:color="1E3A5F"/>
        </w:pBdr>
        <w:keepNext/>
      </w:pPr>
      <w:r>
        <w:rPr>
          <w:rFonts w:ascii="Consolas" w:hAnsi="Consolas"/>
          <w:b/>
          <w:color w:val="1E3A5F"/>
          <w:sz w:val="22"/>
        </w:rPr>
        <w:t>M21c · Team C</w:t>
      </w:r>
      <w:r>
        <w:rPr>
          <w:rFonts w:ascii="Consolas" w:hAnsi="Consolas"/>
          <w:color w:val="6B7280"/>
          <w:sz w:val="18"/>
        </w:rPr>
        <w:t xml:space="preserve">   Ausstellung „Kirche in der DDR“</w:t>
      </w:r>
    </w:p>
    <w:p>
      <w:pPr>
        <w:pStyle w:val="Heading2"/>
        <w:spacing w:after="160" w:before="200"/>
        <w:keepNext/>
      </w:pPr>
      <w:r>
        <w:rPr>
          <w:b w:val="0"/>
          <w:i w:val="0"/>
        </w:rPr>
        <w:t>Schwerter zu Pflugscharen</w:t>
      </w:r>
    </w:p>
    <w:p>
      <w:pPr>
        <w:spacing w:after="120"/>
      </w:pPr>
      <w:r>
        <w:rPr>
          <w:b w:val="0"/>
          <w:i w:val="0"/>
        </w:rPr>
        <w:t xml:space="preserve">Seit 1980 veranstalteten die evangelischen Kirchen jedes Jahr im November eine </w:t>
      </w:r>
      <w:r>
        <w:rPr>
          <w:b/>
          <w:i w:val="0"/>
        </w:rPr>
        <w:t>Friedensdekade</w:t>
      </w:r>
      <w:r>
        <w:rPr>
          <w:b w:val="0"/>
          <w:i w:val="0"/>
        </w:rPr>
        <w:t xml:space="preserve"> — zehn Tage mit Gottesdiensten und Veranstaltungen zum Thema Frieden. Ihr Zeichen war der Schmied, der ein Schwert zu einem Pflug umarbeitet.</w:t>
      </w:r>
    </w:p>
    <w:p>
      <w:pPr>
        <w:spacing w:after="120"/>
      </w:pPr>
      <w:r>
        <w:rPr>
          <w:b w:val="0"/>
          <w:i w:val="0"/>
        </w:rPr>
        <w:t>Der Staat sah darin Kritik an der eigenen Militärpolitik — an der Wehrerziehung in den Schulen und an der Aufrüstung. Er ließ die Aufnäher entfernen; Jugendliche, die sich weigerten, bekamen Schwierigkeiten in Schule und Ausbildung. Innerhalb der Kirchenmauern durfte das Zeichen bleiben. Diese Grenze — drinnen erlaubt, draußen verboten — beschreibt die Lage der Kirche in der DDR sehr genau.</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WAS IHR KLÄREN MÜSST</w:t>
            </w:r>
          </w:p>
          <w:p>
            <w:pPr>
              <w:spacing w:after="60"/>
              <w:ind w:left="340"/>
            </w:pPr>
            <w:r>
              <w:rPr>
                <w:b/>
              </w:rPr>
              <w:t xml:space="preserve">1. </w:t>
            </w:r>
            <w:r>
              <w:rPr>
                <w:b w:val="0"/>
                <w:i w:val="0"/>
              </w:rPr>
              <w:t>Woher stammt das Bildmotiv ursprünglich? Die Antwort ist überraschend.</w:t>
            </w:r>
          </w:p>
          <w:p>
            <w:pPr>
              <w:spacing w:after="60"/>
              <w:ind w:left="340"/>
            </w:pPr>
            <w:r>
              <w:rPr>
                <w:b/>
              </w:rPr>
              <w:t xml:space="preserve">2. </w:t>
            </w:r>
            <w:r>
              <w:rPr>
                <w:b w:val="0"/>
                <w:i w:val="0"/>
              </w:rPr>
              <w:t>Was war „Wehrerziehung“ in DDR-Schulen?</w:t>
            </w:r>
          </w:p>
          <w:p>
            <w:pPr>
              <w:spacing w:after="60"/>
              <w:ind w:left="340"/>
            </w:pPr>
            <w:r>
              <w:rPr>
                <w:b/>
              </w:rPr>
              <w:t xml:space="preserve">3. </w:t>
            </w:r>
            <w:r>
              <w:rPr>
                <w:b w:val="0"/>
                <w:i w:val="0"/>
              </w:rPr>
              <w:t>Findet einen konkreten Fall: Was passierte einem Jugendlichen, der den Aufnäher nicht abtrennen wollte?</w:t>
            </w:r>
          </w:p>
        </w:tc>
      </w:tr>
    </w:tbl>
    <w:p>
      <w:pPr>
        <w:spacing w:after="120"/>
      </w:pPr>
    </w:p>
    <w:p>
      <w:pPr>
        <w:spacing w:before="160" w:after="160"/>
        <w:pBdr>
          <w:bottom w:val="single" w:sz="12" w:space="6" w:color="1E3A5F"/>
        </w:pBdr>
        <w:keepNext/>
      </w:pPr>
      <w:r>
        <w:rPr>
          <w:rFonts w:ascii="Consolas" w:hAnsi="Consolas"/>
          <w:b/>
          <w:color w:val="1E3A5F"/>
          <w:sz w:val="22"/>
        </w:rPr>
        <w:t>M21d · Team D</w:t>
      </w:r>
      <w:r>
        <w:rPr>
          <w:rFonts w:ascii="Consolas" w:hAnsi="Consolas"/>
          <w:color w:val="6B7280"/>
          <w:sz w:val="18"/>
        </w:rPr>
        <w:t xml:space="preserve">   Ausstellung „Kirche in der DDR“</w:t>
      </w:r>
    </w:p>
    <w:p>
      <w:pPr>
        <w:pStyle w:val="Heading2"/>
        <w:spacing w:after="160" w:before="200"/>
        <w:keepNext/>
      </w:pPr>
      <w:r>
        <w:rPr>
          <w:b w:val="0"/>
          <w:i w:val="0"/>
        </w:rPr>
        <w:t>Die Umwelt-Bibliothek in der Berliner Zionsgemeinde</w:t>
      </w:r>
    </w:p>
    <w:p>
      <w:pPr>
        <w:spacing w:after="120"/>
      </w:pPr>
      <w:r>
        <w:rPr>
          <w:b w:val="0"/>
          <w:i w:val="0"/>
        </w:rPr>
        <w:t xml:space="preserve">1986 richteten Umweltgruppen in den Räumen der Berliner Zionsgemeinde eine </w:t>
      </w:r>
      <w:r>
        <w:rPr>
          <w:b/>
          <w:i w:val="0"/>
        </w:rPr>
        <w:t>Umwelt-Bibliothek</w:t>
      </w:r>
      <w:r>
        <w:rPr>
          <w:b w:val="0"/>
          <w:i w:val="0"/>
        </w:rPr>
        <w:t xml:space="preserve"> ein. Dort standen Bücher und Zeitschriften, die es sonst nicht gab; von dort erschienen die selbstgedruckten „Umweltblätter“. Umweltdaten waren in der DDR Geheimsache — wer über verschmutzte Flüsse und Braunkohle schrieb, griff den Staat an.</w:t>
      </w:r>
    </w:p>
    <w:p>
      <w:pPr>
        <w:spacing w:after="120"/>
      </w:pPr>
      <w:r>
        <w:rPr>
          <w:b w:val="0"/>
          <w:i w:val="0"/>
        </w:rPr>
        <w:t xml:space="preserve">Möglich war das nur unter dem Dach der Kirche. </w:t>
      </w:r>
      <w:r>
        <w:rPr>
          <w:b/>
          <w:i w:val="0"/>
        </w:rPr>
        <w:t>Im November 1987 durchsuchte die Staatssicherheit die Räume</w:t>
      </w:r>
      <w:r>
        <w:rPr>
          <w:b w:val="0"/>
          <w:i w:val="0"/>
        </w:rPr>
        <w:t xml:space="preserve"> und nahm Mitarbeiter fest. Es folgten Proteste und Mahnwachen — und die Festgenommenen kamen frei. Das war ein Signal: Auch die Stasi konnte nicht mehr alles durchsetzen.</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WAS IHR KLÄREN MÜSST</w:t>
            </w:r>
          </w:p>
          <w:p>
            <w:pPr>
              <w:spacing w:after="60"/>
              <w:ind w:left="340"/>
            </w:pPr>
            <w:r>
              <w:rPr>
                <w:b/>
              </w:rPr>
              <w:t xml:space="preserve">1. </w:t>
            </w:r>
            <w:r>
              <w:rPr>
                <w:b w:val="0"/>
                <w:i w:val="0"/>
              </w:rPr>
              <w:t>Womit wurden die „Umweltblätter“ gedruckt, und warum war schon die Druckmaschine ein Problem?</w:t>
            </w:r>
          </w:p>
          <w:p>
            <w:pPr>
              <w:spacing w:after="60"/>
              <w:ind w:left="340"/>
            </w:pPr>
            <w:r>
              <w:rPr>
                <w:b/>
              </w:rPr>
              <w:t xml:space="preserve">2. </w:t>
            </w:r>
            <w:r>
              <w:rPr>
                <w:b w:val="0"/>
                <w:i w:val="0"/>
              </w:rPr>
              <w:t>Was passierte nach der Razzia von 1987 — und warum gaben die Behörden nach?</w:t>
            </w:r>
          </w:p>
          <w:p>
            <w:pPr>
              <w:spacing w:after="60"/>
              <w:ind w:left="340"/>
            </w:pPr>
            <w:r>
              <w:rPr>
                <w:b/>
              </w:rPr>
              <w:t xml:space="preserve">3. </w:t>
            </w:r>
            <w:r>
              <w:rPr>
                <w:b w:val="0"/>
                <w:i w:val="0"/>
              </w:rPr>
              <w:t>Warum ausgerechnet Umweltschutz? Was machte dieses Thema politisch gefährlich?</w:t>
            </w:r>
          </w:p>
        </w:tc>
      </w:tr>
    </w:tbl>
    <w:p>
      <w:pPr>
        <w:spacing w:after="120"/>
      </w:pPr>
    </w:p>
    <w:p>
      <w:pPr>
        <w:spacing w:before="160" w:after="160"/>
        <w:pBdr>
          <w:bottom w:val="single" w:sz="12" w:space="6" w:color="1E3A5F"/>
        </w:pBdr>
        <w:keepNext/>
      </w:pPr>
      <w:r>
        <w:rPr>
          <w:rFonts w:ascii="Consolas" w:hAnsi="Consolas"/>
          <w:b/>
          <w:color w:val="1E3A5F"/>
          <w:sz w:val="22"/>
        </w:rPr>
        <w:t>M21e · Team E</w:t>
      </w:r>
      <w:r>
        <w:rPr>
          <w:rFonts w:ascii="Consolas" w:hAnsi="Consolas"/>
          <w:color w:val="6B7280"/>
          <w:sz w:val="18"/>
        </w:rPr>
        <w:t xml:space="preserve">   Ausstellung „Kirche in der DDR“</w:t>
      </w:r>
    </w:p>
    <w:p>
      <w:pPr>
        <w:pStyle w:val="Heading2"/>
        <w:spacing w:after="160" w:before="200"/>
        <w:keepNext/>
      </w:pPr>
      <w:r>
        <w:rPr>
          <w:b w:val="0"/>
          <w:i w:val="0"/>
        </w:rPr>
        <w:t>Die Stasi in der Kirche</w:t>
      </w:r>
    </w:p>
    <w:tbl>
      <w:tblPr>
        <w:tblW w:type="auto" w:w="0"/>
        <w:tblLook w:firstColumn="1" w:firstRow="1" w:lastColumn="0" w:lastRow="0" w:noHBand="0" w:noVBand="1" w:val="04A0"/>
      </w:tblPr>
      <w:tblGrid>
        <w:gridCol w:w="9638"/>
      </w:tblGrid>
      <w:tr>
        <w:tc>
          <w:tcPr>
            <w:tcW w:type="dxa" w:w="9638"/>
            <w:shd w:val="clear" w:color="auto" w:fill="F6E7E5"/>
            <w:tcBorders>
              <w:top w:val="single" w:sz="8" w:space="0" w:color="D8A6A1"/>
              <w:left w:val="single" w:sz="8" w:space="0" w:color="D8A6A1"/>
              <w:bottom w:val="single" w:sz="8" w:space="0" w:color="D8A6A1"/>
              <w:right w:val="single" w:sz="8" w:space="0" w:color="D8A6A1"/>
            </w:tcBorders>
          </w:tcPr>
          <w:p>
            <w:pPr>
              <w:spacing w:after="60"/>
            </w:pPr>
            <w:r>
              <w:rPr>
                <w:rFonts w:ascii="Consolas" w:hAnsi="Consolas"/>
                <w:b/>
                <w:color w:val="8C2A24"/>
                <w:sz w:val="17"/>
              </w:rPr>
              <w:t>EUER THEMA IST DAS SCHWIERIGSTE</w:t>
            </w:r>
          </w:p>
          <w:p>
            <w:pPr>
              <w:spacing w:after="80"/>
            </w:pPr>
            <w:r>
              <w:rPr>
                <w:b w:val="0"/>
                <w:i w:val="0"/>
              </w:rPr>
              <w:t>Bei den anderen Teams geht es um Menschen, die etwas riskiert haben. Bei euch geht es um Schuld innerhalb der Kirche. Diese Tafel darf keine Heldengeschichte werden.</w:t>
            </w:r>
          </w:p>
        </w:tc>
      </w:tr>
    </w:tbl>
    <w:p>
      <w:pPr>
        <w:spacing w:after="120"/>
      </w:pPr>
    </w:p>
    <w:p>
      <w:pPr>
        <w:spacing w:after="120"/>
      </w:pPr>
      <w:r>
        <w:rPr>
          <w:b w:val="0"/>
          <w:i w:val="0"/>
        </w:rPr>
        <w:t xml:space="preserve">Die Staatssicherheit beobachtete die Kirchen genau und warb </w:t>
      </w:r>
      <w:r>
        <w:rPr>
          <w:b/>
          <w:i w:val="0"/>
        </w:rPr>
        <w:t>Inoffizielle Mitarbeiter</w:t>
      </w:r>
      <w:r>
        <w:rPr>
          <w:b w:val="0"/>
          <w:i w:val="0"/>
        </w:rPr>
        <w:t xml:space="preserve"> an — bis hinein in Pfarrämter und kirchliche Leitungsämter. Manche wurden erpresst, manche ließen sich überreden, manche hielten ihre Berichte selbst für harmlos. Weitergegeben wurde, was in Gemeindekreisen gesprochen wurde, wer zu den Friedensgebeten kam, wer Kontakte in den Westen hatte.</w:t>
      </w:r>
    </w:p>
    <w:p>
      <w:pPr>
        <w:spacing w:after="120"/>
      </w:pPr>
      <w:r>
        <w:rPr>
          <w:b w:val="0"/>
          <w:i w:val="0"/>
        </w:rPr>
        <w:t>Nach 1990 wurden die Akten geöffnet. In manchen Gemeinden stellte sich heraus, dass ausgerechnet der eigene Pfarrer berichtet hatte. Die evangelischen Kirchen haben sich damit in einem langen und schmerzhaften Prozess auseinandergesetzt.</w:t>
      </w:r>
    </w:p>
    <w:tbl>
      <w:tblPr>
        <w:tblW w:type="auto" w:w="0"/>
        <w:tblLook w:firstColumn="1" w:firstRow="1" w:lastColumn="0" w:lastRow="0" w:noHBand="0" w:noVBand="1" w:val="04A0"/>
      </w:tblPr>
      <w:tblGrid>
        <w:gridCol w:w="9638"/>
      </w:tblGrid>
      <w:tr>
        <w:tc>
          <w:tcPr>
            <w:tcW w:type="dxa" w:w="9638"/>
            <w:shd w:val="clear" w:color="auto" w:fill="E2EDEA"/>
            <w:tcBorders>
              <w:top w:val="single" w:sz="8" w:space="0" w:color="9CC2B7"/>
              <w:left w:val="single" w:sz="8" w:space="0" w:color="9CC2B7"/>
              <w:bottom w:val="single" w:sz="8" w:space="0" w:color="9CC2B7"/>
              <w:right w:val="single" w:sz="8" w:space="0" w:color="9CC2B7"/>
            </w:tcBorders>
          </w:tcPr>
          <w:p>
            <w:pPr>
              <w:spacing w:after="60"/>
            </w:pPr>
            <w:r>
              <w:rPr>
                <w:rFonts w:ascii="Consolas" w:hAnsi="Consolas"/>
                <w:b/>
                <w:color w:val="1F5B4E"/>
                <w:sz w:val="17"/>
              </w:rPr>
              <w:t>WAS IHR KLÄREN MÜSST</w:t>
            </w:r>
          </w:p>
          <w:p>
            <w:pPr>
              <w:spacing w:after="60"/>
              <w:ind w:left="340"/>
            </w:pPr>
            <w:r>
              <w:rPr>
                <w:b/>
              </w:rPr>
              <w:t xml:space="preserve">1. </w:t>
            </w:r>
            <w:r>
              <w:rPr>
                <w:b w:val="0"/>
                <w:i w:val="0"/>
              </w:rPr>
              <w:t xml:space="preserve">Was bedeutet die Abkürzung </w:t>
            </w:r>
            <w:r>
              <w:rPr>
                <w:b/>
                <w:i w:val="0"/>
              </w:rPr>
              <w:t>IM</w:t>
            </w:r>
            <w:r>
              <w:rPr>
                <w:b w:val="0"/>
                <w:i w:val="0"/>
              </w:rPr>
              <w:t>, und wie wurden solche Mitarbeiter angeworben?</w:t>
            </w:r>
          </w:p>
          <w:p>
            <w:pPr>
              <w:spacing w:after="60"/>
              <w:ind w:left="340"/>
            </w:pPr>
            <w:r>
              <w:rPr>
                <w:b/>
              </w:rPr>
              <w:t xml:space="preserve">2. </w:t>
            </w:r>
            <w:r>
              <w:rPr>
                <w:b w:val="0"/>
                <w:i w:val="0"/>
              </w:rPr>
              <w:t>Sucht einen konkreten, dokumentierten Fall aus dem kirchlichen Bereich.</w:t>
            </w:r>
          </w:p>
          <w:p>
            <w:pPr>
              <w:spacing w:after="60"/>
              <w:ind w:left="340"/>
            </w:pPr>
            <w:r>
              <w:rPr>
                <w:b/>
              </w:rPr>
              <w:t xml:space="preserve">3. </w:t>
            </w:r>
            <w:r>
              <w:rPr>
                <w:b/>
                <w:i w:val="0"/>
              </w:rPr>
              <w:t>Eure offene Frage soll darauf hinauslaufen:</w:t>
            </w:r>
            <w:r>
              <w:rPr>
                <w:b w:val="0"/>
                <w:i w:val="0"/>
              </w:rPr>
              <w:t xml:space="preserve"> Was macht es mit einer Gemeinde, wenn sie erfährt, dass ihr Pfarrer über sie berichtet hat — und was wäre der richtige Umgang damit?</w:t>
            </w:r>
          </w:p>
        </w:tc>
      </w:tr>
    </w:tbl>
    <w:p>
      <w:pPr>
        <w:spacing w:after="120"/>
      </w:pPr>
    </w:p>
    <w:p>
      <w:r>
        <w:br w:type="page"/>
      </w:r>
    </w:p>
    <w:p>
      <w:pPr>
        <w:spacing w:after="40"/>
        <w:keepNext/>
      </w:pPr>
      <w:r>
        <w:rPr>
          <w:rFonts w:ascii="Consolas" w:hAnsi="Consolas"/>
          <w:b/>
          <w:color w:val="1E3A5F"/>
          <w:sz w:val="18"/>
        </w:rPr>
        <w:t>KOPIERVORLAGE · AUF A3 VERGRÖSSERN, FÜNF STÜCK</w:t>
      </w:r>
    </w:p>
    <w:p>
      <w:pPr>
        <w:spacing w:before="160" w:after="160"/>
        <w:pBdr>
          <w:bottom w:val="single" w:sz="12" w:space="6" w:color="1E3A5F"/>
        </w:pBdr>
        <w:keepNext/>
      </w:pPr>
      <w:r>
        <w:rPr>
          <w:rFonts w:ascii="Consolas" w:hAnsi="Consolas"/>
          <w:b/>
          <w:color w:val="1E3A5F"/>
          <w:sz w:val="22"/>
        </w:rPr>
        <w:t>Ausstellungstafel</w:t>
      </w:r>
      <w:r>
        <w:rPr>
          <w:rFonts w:ascii="Consolas" w:hAnsi="Consolas"/>
          <w:color w:val="6B7280"/>
          <w:sz w:val="18"/>
        </w:rPr>
        <w:t xml:space="preserve">   bleibt bis zum Ende der Einheit hängen</w:t>
      </w:r>
    </w:p>
    <w:tbl>
      <w:tblPr>
        <w:tblStyle w:val="TableGrid"/>
        <w:tblW w:type="auto" w:w="0"/>
        <w:tblLayout w:type="fixed"/>
        <w:tblLook w:firstColumn="1" w:firstRow="1" w:lastColumn="0" w:lastRow="0" w:noHBand="0" w:noVBand="1" w:val="04A0"/>
      </w:tblPr>
      <w:tblGrid>
        <w:gridCol w:w="4819"/>
        <w:gridCol w:w="4819"/>
      </w:tblGrid>
      <w:tr>
        <w:trPr>
          <w:trHeight w:val="1927" w:hRule="atLeast"/>
        </w:trPr>
        <w:tc>
          <w:tcPr>
            <w:tcW w:type="dxa" w:w="1587"/>
            <w:shd w:val="clear" w:color="auto" w:fill="EFF1F4"/>
            <w:vAlign w:val="top"/>
          </w:tcPr>
          <w:p>
            <w:pPr>
              <w:spacing w:after="40"/>
            </w:pPr>
            <w:r>
              <w:rPr>
                <w:b/>
                <w:i w:val="0"/>
                <w:color w:val="4B5563"/>
                <w:sz w:val="20"/>
              </w:rPr>
              <w:t>Überschrift</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Jahr</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Was geschah</w:t>
              <w:br/>
            </w:r>
            <w:r>
              <w:rPr>
                <w:b/>
                <w:i w:val="0"/>
                <w:color w:val="4B5563"/>
                <w:sz w:val="20"/>
              </w:rPr>
              <w:t>(fünf Sätze)</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Originalzitat</w:t>
              <w:br/>
            </w:r>
            <w:r>
              <w:rPr>
                <w:b/>
                <w:i w:val="0"/>
                <w:color w:val="4B5563"/>
                <w:sz w:val="20"/>
              </w:rPr>
              <w:t>mit Namen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Hier müsste dieses Foto hängen</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Unsere offene Frage</w:t>
            </w:r>
          </w:p>
        </w:tc>
        <w:tc>
          <w:tcPr>
            <w:tcW w:type="dxa" w:w="8050"/>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Unsere Quellen</w:t>
            </w:r>
          </w:p>
        </w:tc>
        <w:tc>
          <w:tcPr>
            <w:tcW w:type="dxa" w:w="8050"/>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BEIM RUNDGANG</w:t>
            </w:r>
          </w:p>
          <w:p>
            <w:pPr>
              <w:spacing w:after="80"/>
            </w:pPr>
            <w:r>
              <w:rPr>
                <w:b w:val="0"/>
                <w:i w:val="0"/>
              </w:rPr>
              <w:t xml:space="preserve">Jede und jeder bekommt drei Klebepunkte und geht </w:t>
            </w:r>
            <w:r>
              <w:rPr>
                <w:b/>
                <w:i w:val="0"/>
              </w:rPr>
              <w:t>schweigend</w:t>
            </w:r>
            <w:r>
              <w:rPr>
                <w:b w:val="0"/>
                <w:i w:val="0"/>
              </w:rPr>
              <w:t xml:space="preserve"> durch die Ausstellung — wie in einem echten Museum. Die Punkte kommen auf die </w:t>
            </w:r>
            <w:r>
              <w:rPr>
                <w:b w:val="0"/>
                <w:i/>
              </w:rPr>
              <w:t>offenen Fragen</w:t>
            </w:r>
            <w:r>
              <w:rPr>
                <w:b w:val="0"/>
                <w:i w:val="0"/>
              </w:rPr>
              <w:t>, die euch am meisten beschäftigen. Nicht auf die schönste Tafel.</w:t>
            </w:r>
          </w:p>
        </w:tc>
      </w:tr>
    </w:tbl>
    <w:p>
      <w:pPr>
        <w:spacing w:after="120"/>
      </w:pPr>
    </w:p>
    <w:p>
      <w:pPr>
        <w:spacing w:before="200" w:after="120"/>
        <w:pBdr>
          <w:top w:val="single" w:sz="6" w:space="6" w:color="B7BEC7"/>
        </w:pBdr>
      </w:pPr>
      <w:r>
        <w:rPr>
          <w:rFonts w:ascii="Consolas" w:hAnsi="Consolas"/>
          <w:color w:val="4B5563"/>
          <w:sz w:val="19"/>
        </w:rPr>
        <w:t xml:space="preserve">Team: </w:t>
      </w:r>
      <w:r>
        <w:rPr>
          <w:color w:val="6B7280"/>
          <w:sz w:val="19"/>
        </w:rPr>
        <w:t>____________________</w:t>
      </w:r>
      <w:r>
        <w:t xml:space="preserve">    </w:t>
      </w:r>
      <w:r>
        <w:rPr>
          <w:rFonts w:ascii="Consolas" w:hAnsi="Consolas"/>
          <w:color w:val="4B5563"/>
          <w:sz w:val="19"/>
        </w:rPr>
        <w:t xml:space="preserve">Namen: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spacing w:after="40"/>
        <w:keepNext/>
      </w:pPr>
      <w:r>
        <w:rPr>
          <w:rFonts w:ascii="Consolas" w:hAnsi="Consolas"/>
          <w:b/>
          <w:color w:val="1E3A5F"/>
          <w:sz w:val="18"/>
        </w:rPr>
        <w:t>M22 · KOPIERVORLAGE · KLASSENSATZ</w:t>
      </w:r>
    </w:p>
    <w:p>
      <w:pPr>
        <w:spacing w:before="160" w:after="160"/>
        <w:pBdr>
          <w:bottom w:val="single" w:sz="12" w:space="6" w:color="1E3A5F"/>
        </w:pBdr>
        <w:keepNext/>
      </w:pPr>
      <w:r>
        <w:rPr>
          <w:rFonts w:ascii="Consolas" w:hAnsi="Consolas"/>
          <w:b/>
          <w:color w:val="1E3A5F"/>
          <w:sz w:val="22"/>
        </w:rPr>
        <w:t>M22</w:t>
      </w:r>
      <w:r>
        <w:rPr>
          <w:rFonts w:ascii="Consolas" w:hAnsi="Consolas"/>
          <w:color w:val="6B7280"/>
          <w:sz w:val="18"/>
        </w:rPr>
        <w:t xml:space="preserve">   Zwei Diktaturen, eine Kirche</w:t>
      </w:r>
    </w:p>
    <w:p>
      <w:pPr>
        <w:pStyle w:val="Heading2"/>
        <w:spacing w:after="160" w:before="200"/>
        <w:keepNext/>
      </w:pPr>
      <w:r>
        <w:rPr>
          <w:b w:val="0"/>
          <w:i w:val="0"/>
        </w:rPr>
        <w:t>Was war gleich, was war anders?</w:t>
      </w:r>
    </w:p>
    <w:p>
      <w:pPr>
        <w:spacing w:after="40"/>
        <w:shd w:val="clear" w:color="auto" w:fill="E5ECF4"/>
        <w:keepNext/>
      </w:pPr>
      <w:r>
        <w:rPr>
          <w:rFonts w:ascii="Consolas" w:hAnsi="Consolas"/>
          <w:b/>
          <w:color w:val="1E3A5F"/>
          <w:sz w:val="18"/>
        </w:rPr>
        <w:t>ARBEITSAUFTRAG · PARTNERARBEIT, 12 MINUTEN</w:t>
      </w:r>
    </w:p>
    <w:p>
      <w:pPr>
        <w:pStyle w:val="ListBullet"/>
        <w:spacing w:after="60"/>
      </w:pPr>
      <w:r>
        <w:rPr>
          <w:b w:val="0"/>
          <w:i w:val="0"/>
        </w:rPr>
        <w:t>Füllt die Tabelle aus. Nutzt dafür ausdrücklich eure Aufzeichnungen aus den Doppelstunden 2 bis 4 — die Blätter zu Barmen und zur Wäscheleine.</w:t>
      </w:r>
    </w:p>
    <w:p>
      <w:pPr>
        <w:pStyle w:val="ListBullet"/>
        <w:spacing w:after="60"/>
      </w:pPr>
      <w:r>
        <w:rPr>
          <w:b w:val="0"/>
          <w:i w:val="0"/>
        </w:rPr>
        <w:t>Die letzte Zeile ist die wichtigste. Nehmt euch für sie die Hälfte der Zeit.</w:t>
      </w:r>
    </w:p>
    <w:tbl>
      <w:tblPr>
        <w:tblStyle w:val="TableGrid"/>
        <w:tblW w:type="auto" w:w="0"/>
        <w:tblLayout w:type="fixed"/>
        <w:tblLook w:firstColumn="1" w:firstRow="1" w:lastColumn="0" w:lastRow="0" w:noHBand="0" w:noVBand="1" w:val="04A0"/>
      </w:tblPr>
      <w:tblGrid>
        <w:gridCol w:w="3213"/>
        <w:gridCol w:w="3213"/>
        <w:gridCol w:w="3213"/>
      </w:tblGrid>
      <w:tr>
        <w:tc>
          <w:tcPr>
            <w:tcW w:type="dxa" w:w="1587"/>
            <w:shd w:val="clear" w:color="auto" w:fill="E5ECF4"/>
            <w:vAlign w:val="top"/>
          </w:tcPr>
          <w:p>
            <w:pPr>
              <w:spacing w:after="40"/>
            </w:pPr>
          </w:p>
        </w:tc>
        <w:tc>
          <w:tcPr>
            <w:tcW w:type="dxa" w:w="4025"/>
            <w:shd w:val="clear" w:color="auto" w:fill="E5ECF4"/>
            <w:vAlign w:val="top"/>
          </w:tcPr>
          <w:p>
            <w:pPr>
              <w:spacing w:after="40"/>
            </w:pPr>
            <w:r>
              <w:rPr>
                <w:b/>
                <w:i w:val="0"/>
                <w:color w:val="1E3A5F"/>
                <w:sz w:val="20"/>
              </w:rPr>
              <w:t>Nationalsozialismus</w:t>
              <w:br/>
            </w:r>
            <w:r>
              <w:rPr>
                <w:b/>
                <w:i w:val="0"/>
                <w:color w:val="1E3A5F"/>
                <w:sz w:val="20"/>
              </w:rPr>
              <w:t>1933–1945</w:t>
            </w:r>
          </w:p>
        </w:tc>
        <w:tc>
          <w:tcPr>
            <w:tcW w:type="dxa" w:w="4025"/>
            <w:shd w:val="clear" w:color="auto" w:fill="E5ECF4"/>
            <w:vAlign w:val="top"/>
          </w:tcPr>
          <w:p>
            <w:pPr>
              <w:spacing w:after="40"/>
            </w:pPr>
            <w:r>
              <w:rPr>
                <w:b/>
                <w:i w:val="0"/>
                <w:color w:val="1E3A5F"/>
                <w:sz w:val="20"/>
              </w:rPr>
              <w:t>DDR</w:t>
              <w:br/>
            </w:r>
            <w:r>
              <w:rPr>
                <w:b/>
                <w:i w:val="0"/>
                <w:color w:val="1E3A5F"/>
                <w:sz w:val="20"/>
              </w:rPr>
              <w:t>1949–1989</w:t>
            </w:r>
          </w:p>
        </w:tc>
      </w:tr>
      <w:tr>
        <w:trPr>
          <w:trHeight w:val="1927" w:hRule="atLeast"/>
        </w:trPr>
        <w:tc>
          <w:tcPr>
            <w:tcW w:type="dxa" w:w="1587"/>
            <w:shd w:val="clear" w:color="auto" w:fill="EFF1F4"/>
            <w:vAlign w:val="top"/>
          </w:tcPr>
          <w:p>
            <w:pPr>
              <w:spacing w:after="40"/>
            </w:pPr>
            <w:r>
              <w:rPr>
                <w:b/>
                <w:i w:val="0"/>
                <w:color w:val="4B5563"/>
                <w:sz w:val="20"/>
              </w:rPr>
              <w:t>Was wollte der Staat von der Kirche?</w:t>
            </w:r>
          </w:p>
        </w:tc>
        <w:tc>
          <w:tcPr>
            <w:tcW w:type="dxa" w:w="4025"/>
            <w:vAlign w:val="top"/>
          </w:tcPr>
          <w:p>
            <w:pPr>
              <w:spacing w:after="40"/>
            </w:pPr>
          </w:p>
        </w:tc>
        <w:tc>
          <w:tcPr>
            <w:tcW w:type="dxa" w:w="4025"/>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Wie groß war der Freiraum der Kirche?</w:t>
            </w:r>
          </w:p>
        </w:tc>
        <w:tc>
          <w:tcPr>
            <w:tcW w:type="dxa" w:w="4025"/>
            <w:vAlign w:val="top"/>
          </w:tcPr>
          <w:p>
            <w:pPr>
              <w:spacing w:after="40"/>
            </w:pPr>
          </w:p>
        </w:tc>
        <w:tc>
          <w:tcPr>
            <w:tcW w:type="dxa" w:w="4025"/>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Woran orientierten sich die, die widersprachen?</w:t>
            </w:r>
          </w:p>
        </w:tc>
        <w:tc>
          <w:tcPr>
            <w:tcW w:type="dxa" w:w="4025"/>
            <w:vAlign w:val="top"/>
          </w:tcPr>
          <w:p>
            <w:pPr>
              <w:spacing w:after="40"/>
            </w:pPr>
          </w:p>
        </w:tc>
        <w:tc>
          <w:tcPr>
            <w:tcW w:type="dxa" w:w="4025"/>
            <w:vAlign w:val="top"/>
          </w:tcPr>
          <w:p>
            <w:pPr>
              <w:spacing w:after="40"/>
            </w:pPr>
          </w:p>
        </w:tc>
      </w:tr>
      <w:tr>
        <w:trPr>
          <w:trHeight w:val="1927" w:hRule="atLeast"/>
        </w:trPr>
        <w:tc>
          <w:tcPr>
            <w:tcW w:type="dxa" w:w="1587"/>
            <w:shd w:val="clear" w:color="auto" w:fill="EFF1F4"/>
            <w:vAlign w:val="top"/>
          </w:tcPr>
          <w:p>
            <w:pPr>
              <w:spacing w:after="40"/>
            </w:pPr>
            <w:r>
              <w:rPr>
                <w:b/>
                <w:i w:val="0"/>
                <w:color w:val="4B5563"/>
                <w:sz w:val="20"/>
              </w:rPr>
              <w:t>Welchen Preis zahlte, wer widersprach?</w:t>
            </w:r>
          </w:p>
        </w:tc>
        <w:tc>
          <w:tcPr>
            <w:tcW w:type="dxa" w:w="4025"/>
            <w:vAlign w:val="top"/>
          </w:tcPr>
          <w:p>
            <w:pPr>
              <w:spacing w:after="40"/>
            </w:pPr>
          </w:p>
        </w:tc>
        <w:tc>
          <w:tcPr>
            <w:tcW w:type="dxa" w:w="4025"/>
            <w:vAlign w:val="top"/>
          </w:tcPr>
          <w:p>
            <w:pPr>
              <w:spacing w:after="40"/>
            </w:pPr>
          </w:p>
        </w:tc>
      </w:tr>
      <w:tr>
        <w:trPr>
          <w:trHeight w:val="1927" w:hRule="atLeast"/>
        </w:trPr>
        <w:tc>
          <w:tcPr>
            <w:tcW w:type="dxa" w:w="3213"/>
            <w:shd w:val="clear" w:color="auto" w:fill="EFF1F4"/>
            <w:vAlign w:val="top"/>
          </w:tcPr>
          <w:p>
            <w:pPr>
              <w:spacing w:after="40"/>
            </w:pPr>
            <w:r>
              <w:rPr>
                <w:b/>
                <w:i w:val="0"/>
                <w:color w:val="4B5563"/>
                <w:sz w:val="20"/>
              </w:rPr>
              <w:t>Was hatte die Kirche 1989, was ihr 1933 fehlte?</w:t>
            </w:r>
          </w:p>
        </w:tc>
        <w:tc>
          <w:tcPr>
            <w:tcW w:type="dxa" w:w="6426"/>
            <w:gridSpan w:val="2"/>
            <w:vAlign w:val="top"/>
          </w:tcPr>
          <w:p>
            <w:pPr>
              <w:spacing w:after="40"/>
            </w:pPr>
          </w:p>
        </w:tc>
      </w:tr>
    </w:tbl>
    <w:p>
      <w:pPr>
        <w:spacing w:before="40" w:after="160"/>
      </w:pPr>
    </w:p>
    <w:tbl>
      <w:tblPr>
        <w:tblW w:type="auto" w:w="0"/>
        <w:tblLook w:firstColumn="1" w:firstRow="1" w:lastColumn="0" w:lastRow="0" w:noHBand="0" w:noVBand="1" w:val="04A0"/>
      </w:tblPr>
      <w:tblGrid>
        <w:gridCol w:w="9638"/>
      </w:tblGrid>
      <w:tr>
        <w:tc>
          <w:tcPr>
            <w:tcW w:type="dxa" w:w="9638"/>
            <w:shd w:val="clear" w:color="auto" w:fill="F0EBDF"/>
            <w:tcBorders>
              <w:top w:val="single" w:sz="8" w:space="0" w:color="C9BC98"/>
              <w:left w:val="single" w:sz="8" w:space="0" w:color="C9BC98"/>
              <w:bottom w:val="single" w:sz="8" w:space="0" w:color="C9BC98"/>
              <w:right w:val="single" w:sz="8" w:space="0" w:color="C9BC98"/>
            </w:tcBorders>
          </w:tcPr>
          <w:p>
            <w:pPr>
              <w:spacing w:after="60"/>
            </w:pPr>
            <w:r>
              <w:rPr>
                <w:rFonts w:ascii="Consolas" w:hAnsi="Consolas"/>
                <w:b/>
                <w:color w:val="6A5936"/>
                <w:sz w:val="17"/>
              </w:rPr>
              <w:t>ÜBERLEITUNG IN DIE LETZTE DOPPELSTUNDE</w:t>
            </w:r>
          </w:p>
          <w:p>
            <w:pPr>
              <w:spacing w:after="80"/>
            </w:pPr>
            <w:r>
              <w:rPr>
                <w:b w:val="0"/>
                <w:i w:val="0"/>
              </w:rPr>
              <w:t>„Wir sind am Ende des Teils angekommen, der in Geschichtsbüchern steht. Nächste Woche steht kein Jahr mehr an der Tafel, sondern dieses. Sie bringen Ihre Handys mit. Und Sie werden am Ende etwas tun, das seit 1934 kaum jemand mehr gemacht hat: Sie schreiben eigene Bekenntnissätze. Und die hängen wir an die Tür.“</w:t>
            </w:r>
          </w:p>
        </w:tc>
      </w:tr>
    </w:tbl>
    <w:p>
      <w:pPr>
        <w:spacing w:after="120"/>
      </w:pPr>
    </w:p>
    <w:p>
      <w:pPr>
        <w:spacing w:before="200" w:after="120"/>
        <w:pBdr>
          <w:top w:val="single" w:sz="6" w:space="6" w:color="B7BEC7"/>
        </w:pBdr>
      </w:pPr>
      <w:r>
        <w:rPr>
          <w:rFonts w:ascii="Consolas" w:hAnsi="Consolas"/>
          <w:color w:val="4B5563"/>
          <w:sz w:val="19"/>
        </w:rPr>
        <w:t xml:space="preserve">Name: </w:t>
      </w:r>
      <w:r>
        <w:rPr>
          <w:color w:val="6B7280"/>
          <w:sz w:val="19"/>
        </w:rPr>
        <w:t>____________________</w:t>
      </w:r>
      <w:r>
        <w:t xml:space="preserve">    </w:t>
      </w:r>
      <w:r>
        <w:rPr>
          <w:rFonts w:ascii="Consolas" w:hAnsi="Consolas"/>
          <w:color w:val="4B5563"/>
          <w:sz w:val="19"/>
        </w:rPr>
        <w:t xml:space="preserve">Klasse: </w:t>
      </w:r>
      <w:r>
        <w:rPr>
          <w:color w:val="6B7280"/>
          <w:sz w:val="19"/>
        </w:rPr>
        <w:t>____________________</w:t>
      </w:r>
      <w:r>
        <w:t xml:space="preserve">    </w:t>
      </w:r>
      <w:r>
        <w:rPr>
          <w:rFonts w:ascii="Consolas" w:hAnsi="Consolas"/>
          <w:color w:val="4B5563"/>
          <w:sz w:val="19"/>
        </w:rPr>
        <w:t xml:space="preserve">Datum: </w:t>
      </w:r>
      <w:r>
        <w:rPr>
          <w:color w:val="6B7280"/>
          <w:sz w:val="19"/>
        </w:rPr>
        <w:t>____________________</w:t>
      </w:r>
    </w:p>
    <w:p>
      <w:r>
        <w:br w:type="page"/>
      </w:r>
    </w:p>
    <w:p>
      <w:pPr>
        <w:pStyle w:val="Heading1"/>
        <w:spacing w:after="160" w:before="200"/>
        <w:keepNext/>
      </w:pPr>
      <w:r>
        <w:rPr>
          <w:b w:val="0"/>
          <w:i w:val="0"/>
        </w:rPr>
        <w:t>Bild- und Quellennachweis</w:t>
      </w:r>
    </w:p>
    <w:p>
      <w:pPr>
        <w:pStyle w:val="ListBullet"/>
        <w:spacing w:after="60"/>
      </w:pPr>
      <w:r>
        <w:rPr>
          <w:b/>
          <w:i w:val="0"/>
        </w:rPr>
        <w:t>M19 · Schwerter zu Pflugscharen:</w:t>
      </w:r>
      <w:r>
        <w:rPr>
          <w:b w:val="0"/>
          <w:i w:val="0"/>
        </w:rPr>
        <w:t xml:space="preserve"> „Schwerter zu Pflugscharen cropped“, Lizenz </w:t>
      </w:r>
      <w:r>
        <w:rPr>
          <w:b/>
          <w:i w:val="0"/>
        </w:rPr>
        <w:t>CC BY-SA 3.0</w:t>
      </w:r>
      <w:r>
        <w:rPr>
          <w:b w:val="0"/>
          <w:i w:val="0"/>
        </w:rPr>
        <w:t xml:space="preserve"> — </w:t>
      </w:r>
      <w:hyperlink r:id="rId10">
        <w:r>
          <w:rPr>
            <w:color w:val="1E3A5F"/>
            <w:u w:val="single"/>
          </w:rPr>
          <w:t xml:space="preserve">Dateiseite auf Wikimedia Commons</w:t>
        </w:r>
      </w:hyperlink>
      <w:r>
        <w:rPr>
          <w:rFonts w:ascii="Consolas" w:hAnsi="Consolas"/>
          <w:b w:val="0"/>
          <w:i w:val="0"/>
          <w:color w:val="6B7280"/>
          <w:sz w:val="16"/>
        </w:rPr>
        <w:t xml:space="preserve"> (https://commons.wikimedia.org/wiki/File:Schwerter_zu_Pflugscharen_cropped.jpg)</w:t>
      </w:r>
      <w:r>
        <w:rPr>
          <w:b w:val="0"/>
          <w:i w:val="0"/>
        </w:rPr>
        <w:t>. Das Motiv geht zurück auf die Bronzeplastik von Jewgeni Wutschetitsch, ein Geschenk der Sowjetunion an die Vereinten Nationen (1959).</w:t>
      </w:r>
    </w:p>
    <w:p>
      <w:pPr>
        <w:spacing w:after="120"/>
      </w:pPr>
      <w:r>
        <w:rPr>
          <w:b/>
          <w:i w:val="0"/>
        </w:rPr>
        <w:t>Für die Recherche der Teams:</w:t>
      </w:r>
      <w:r>
        <w:rPr>
          <w:b w:val="0"/>
          <w:i w:val="0"/>
        </w:rPr>
        <w:t xml:space="preserve"> </w:t>
      </w:r>
      <w:hyperlink r:id="rId11">
        <w:r>
          <w:rPr>
            <w:color w:val="1E3A5F"/>
            <w:u w:val="single"/>
          </w:rPr>
          <w:t xml:space="preserve">LeMO des Deutschen Historischen Museums</w:t>
        </w:r>
      </w:hyperlink>
      <w:r>
        <w:rPr>
          <w:rFonts w:ascii="Consolas" w:hAnsi="Consolas"/>
          <w:b w:val="0"/>
          <w:i w:val="0"/>
          <w:color w:val="6B7280"/>
          <w:sz w:val="16"/>
        </w:rPr>
        <w:t xml:space="preserve"> (https://www.dhm.de/lemo)</w:t>
      </w:r>
      <w:r>
        <w:rPr>
          <w:b w:val="0"/>
          <w:i w:val="0"/>
        </w:rPr>
        <w:t xml:space="preserve"> · </w:t>
      </w:r>
      <w:hyperlink r:id="rId12">
        <w:r>
          <w:rPr>
            <w:color w:val="1E3A5F"/>
            <w:u w:val="single"/>
          </w:rPr>
          <w:t xml:space="preserve">Bundesstiftung Aufarbeitung</w:t>
        </w:r>
      </w:hyperlink>
      <w:r>
        <w:rPr>
          <w:rFonts w:ascii="Consolas" w:hAnsi="Consolas"/>
          <w:b w:val="0"/>
          <w:i w:val="0"/>
          <w:color w:val="6B7280"/>
          <w:sz w:val="16"/>
        </w:rPr>
        <w:t xml:space="preserve"> (https://www.bundesstiftung-aufarbeitung.de)</w:t>
      </w:r>
      <w:r>
        <w:rPr>
          <w:b w:val="0"/>
          <w:i w:val="0"/>
        </w:rPr>
        <w:t>. Das auf M21a genannte Zitat über „Kerzen und Gebete“ ist vielfach überliefert, die Zuschreibung ist jedoch nicht eindeutig gesichert — genau deshalb steht es als Prüfauftrag auf der Karte.</w:t>
      </w:r>
    </w:p>
    <w:p>
      <w:pPr>
        <w:spacing w:after="120"/>
      </w:pPr>
      <w:r>
        <w:rPr>
          <w:b w:val="0"/>
          <w:i w:val="0"/>
        </w:rPr>
        <w:t xml:space="preserve">Fachliche Grundlage: </w:t>
      </w:r>
      <w:hyperlink r:id="rId13">
        <w:r>
          <w:rPr>
            <w:color w:val="1E3A5F"/>
            <w:u w:val="single"/>
          </w:rPr>
          <w:t xml:space="preserve">LehrplanPLUS Bayern, Gymnasium 9, Evangelische Religionslehre, Lernbereich 4</w:t>
        </w:r>
      </w:hyperlink>
      <w:r>
        <w:rPr>
          <w:rFonts w:ascii="Consolas" w:hAnsi="Consolas"/>
          <w:b w:val="0"/>
          <w:i w:val="0"/>
          <w:color w:val="6B7280"/>
          <w:sz w:val="16"/>
        </w:rPr>
        <w:t xml:space="preserve"> (https://www.lehrplanplus.bayern.de/fachlehrplan/gymnasium/9/evangelische-religionslehre)</w:t>
      </w:r>
      <w:r>
        <w:rPr>
          <w:b w:val="0"/>
          <w:i w:val="0"/>
        </w:rPr>
        <w: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commons.wikimedia.org/wiki/File:Schwerter_zu_Pflugscharen_cropped.jpg" TargetMode="External"/><Relationship Id="rId11" Type="http://schemas.openxmlformats.org/officeDocument/2006/relationships/hyperlink" Target="https://www.dhm.de/lemo" TargetMode="External"/><Relationship Id="rId12" Type="http://schemas.openxmlformats.org/officeDocument/2006/relationships/hyperlink" Target="https://www.bundesstiftung-aufarbeitung.de" TargetMode="External"/><Relationship Id="rId13" Type="http://schemas.openxmlformats.org/officeDocument/2006/relationships/hyperlink" Target="https://www.lehrplanplus.bayern.de/fachlehrplan/gymnasium/9/evangelische-religionsleh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