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</w:pPr>
      <w:r>
        <w:rPr>
          <w:rFonts w:ascii="Calibri" w:hAnsi="Calibri" w:cs="Calibri"/>
          <w:b/>
          <w:i w:val="0"/>
          <w:caps/>
          <w:color w:val="5A636E"/>
          <w:sz w:val="17"/>
        </w:rPr>
        <w:t>Kirche und Staat  ·  Doppelstunde 3  ·  Wenn du krank warst</w:t>
      </w:r>
    </w:p>
    <w:p>
      <w:pPr>
        <w:spacing w:before="0" w:after="0" w:line="252" w:lineRule="auto"/>
      </w:pPr>
      <w:r>
        <w:rPr>
          <w:rFonts w:ascii="Cambria" w:hAnsi="Cambria" w:cs="Cambria"/>
          <w:b/>
          <w:i w:val="0"/>
          <w:color w:val="1E3A5F"/>
          <w:sz w:val="42"/>
        </w:rPr>
        <w:t>Barmen gegen Ansbach</w:t>
      </w:r>
    </w:p>
    <w:p>
      <w:pPr>
        <w:spacing w:before="0" w:after="200" w:line="252" w:lineRule="auto"/>
      </w:pPr>
      <w:r>
        <w:rPr>
          <w:rFonts w:ascii="Cambria" w:hAnsi="Cambria" w:cs="Cambria"/>
          <w:b w:val="0"/>
          <w:i/>
          <w:color w:val="5A636E"/>
          <w:sz w:val="23"/>
        </w:rPr>
        <w:t>Zwei Texte, dreizehn Tage Abstand, dieselbe Kirche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58"/>
      </w:tblGrid>
      <w:tr>
        <w:tc>
          <w:tcPr>
            <w:tcW w:type="dxa" w:w="9858"/>
            <w:shd w:val="clear" w:fill="F2F0E8"/>
          </w:tcPr>
          <w:p>
            <w:pPr>
              <w:spacing w:before="120" w:after="60" w:line="252" w:lineRule="auto"/>
            </w:pPr>
            <w:r>
              <w:rPr>
                <w:rFonts w:ascii="Calibri" w:hAnsi="Calibri" w:cs="Calibri"/>
                <w:b/>
                <w:i w:val="0"/>
                <w:caps/>
                <w:color w:val="1E3A5F"/>
                <w:sz w:val="19"/>
              </w:rPr>
              <w:t>Fünf Minuten lesen — mehr ist das nicht.</w:t>
            </w:r>
          </w:p>
          <w:p>
            <w:pPr>
              <w:spacing w:before="0" w:after="140" w:line="252" w:lineRule="auto"/>
            </w:pPr>
            <w:r>
              <w:rPr>
                <w:rFonts w:ascii="Calibri" w:hAnsi="Calibri" w:cs="Calibri"/>
                <w:b w:val="0"/>
                <w:i w:val="0"/>
                <w:color w:val="151A21"/>
                <w:sz w:val="20"/>
              </w:rPr>
              <w:t>Diese Stunde war ein Rollenspiel: eine Streitrunde im Juni 1934. Der Hintergrund sind zwei Texte, die kurz nacheinander erschienen und sich gegenseitig widersprechen. Der eine wurde berühmt, der andere fast vergessen — obwohl beide von evangelischen Theologen stammen. Am Ende ging es um einen bayerischen Landesbischof, an dem sich zeigt, dass historische Urteile selten eindeutig ausfallen.</w:t>
            </w:r>
          </w:p>
        </w:tc>
      </w:tr>
    </w:tbl>
    <w:p>
      <w:pPr>
        <w:spacing w:before="240" w:after="80" w:line="252" w:lineRule="auto"/>
      </w:pPr>
      <w:r>
        <w:rPr>
          <w:rFonts w:ascii="Cambria" w:hAnsi="Cambria" w:cs="Cambria"/>
          <w:b/>
          <w:i w:val="0"/>
          <w:color w:val="1E3A5F"/>
          <w:sz w:val="25"/>
        </w:rPr>
        <w:t>Das musst du wissen</w:t>
      </w:r>
    </w:p>
    <w:p>
      <w:pPr>
        <w:spacing w:before="0" w:after="100" w:line="252" w:lineRule="auto"/>
        <w:ind w:left="425" w:hanging="425"/>
      </w:pPr>
      <w:r>
        <w:rPr>
          <w:rFonts w:ascii="Calibri" w:hAnsi="Calibri" w:cs="Calibri"/>
          <w:b/>
          <w:i w:val="0"/>
          <w:color w:val="1E3A5F"/>
          <w:sz w:val="20"/>
        </w:rPr>
        <w:t xml:space="preserve">1  </w:t>
      </w:r>
      <w:r>
        <w:rPr>
          <w:rFonts w:ascii="Calibri" w:hAnsi="Calibri" w:cs="Calibri"/>
          <w:b/>
          <w:i w:val="0"/>
          <w:color w:val="151A21"/>
          <w:sz w:val="20"/>
        </w:rPr>
        <w:t xml:space="preserve">Barmer Theologische Erklärung, 31. Mai 1934. </w:t>
      </w:r>
      <w:r>
        <w:rPr>
          <w:rFonts w:ascii="Calibri" w:hAnsi="Calibri" w:cs="Calibri"/>
          <w:b w:val="0"/>
          <w:i w:val="0"/>
          <w:color w:val="151A21"/>
          <w:sz w:val="20"/>
        </w:rPr>
        <w:t>Das Gründungsdokument der Bekennenden Kirche, maßgeblich von Karl Barth formuliert. These 1: Jesus Christus ist das eine Wort Gottes, dem die Kirche zu gehorchen hat — und keiner anderen Macht, keinem Führer, keinem Volk.</w:t>
      </w:r>
    </w:p>
    <w:p>
      <w:pPr>
        <w:spacing w:before="0" w:after="100" w:line="252" w:lineRule="auto"/>
        <w:ind w:left="425" w:hanging="425"/>
      </w:pPr>
      <w:r>
        <w:rPr>
          <w:rFonts w:ascii="Calibri" w:hAnsi="Calibri" w:cs="Calibri"/>
          <w:b/>
          <w:i w:val="0"/>
          <w:color w:val="1E3A5F"/>
          <w:sz w:val="20"/>
        </w:rPr>
        <w:t xml:space="preserve">2  </w:t>
      </w:r>
      <w:r>
        <w:rPr>
          <w:rFonts w:ascii="Calibri" w:hAnsi="Calibri" w:cs="Calibri"/>
          <w:b/>
          <w:i w:val="0"/>
          <w:color w:val="151A21"/>
          <w:sz w:val="20"/>
        </w:rPr>
        <w:t xml:space="preserve">Die Sprachform, die du dir merken solltest. </w:t>
      </w:r>
      <w:r>
        <w:rPr>
          <w:rFonts w:ascii="Calibri" w:hAnsi="Calibri" w:cs="Calibri"/>
          <w:b w:val="0"/>
          <w:i w:val="0"/>
          <w:color w:val="151A21"/>
          <w:sz w:val="20"/>
        </w:rPr>
        <w:t>Jede These hat zwei Teile: eine positive Aussage, woran man sich bindet, und dann die Verwerfung — „Wir verwerfen die falsche Lehre, als ob …“. Diesen Satzanfang brauchst du in der letzten Doppelstunde wieder.</w:t>
      </w:r>
    </w:p>
    <w:p>
      <w:pPr>
        <w:spacing w:before="0" w:after="100" w:line="252" w:lineRule="auto"/>
        <w:ind w:left="425" w:hanging="425"/>
      </w:pPr>
      <w:r>
        <w:rPr>
          <w:rFonts w:ascii="Calibri" w:hAnsi="Calibri" w:cs="Calibri"/>
          <w:b/>
          <w:i w:val="0"/>
          <w:color w:val="1E3A5F"/>
          <w:sz w:val="20"/>
        </w:rPr>
        <w:t xml:space="preserve">3  </w:t>
      </w:r>
      <w:r>
        <w:rPr>
          <w:rFonts w:ascii="Calibri" w:hAnsi="Calibri" w:cs="Calibri"/>
          <w:b/>
          <w:i w:val="0"/>
          <w:color w:val="151A21"/>
          <w:sz w:val="20"/>
        </w:rPr>
        <w:t xml:space="preserve">Ansbacher Ratschlag, 11. Juni 1934. </w:t>
      </w:r>
      <w:r>
        <w:rPr>
          <w:rFonts w:ascii="Calibri" w:hAnsi="Calibri" w:cs="Calibri"/>
          <w:b w:val="0"/>
          <w:i w:val="0"/>
          <w:color w:val="151A21"/>
          <w:sz w:val="20"/>
        </w:rPr>
        <w:t>Die Gegenposition, unter anderem von Paul Althaus und Werner Elert: Volk, Familie und Führer seien von Gott gegebene Ordnungen; Hitler wird darin als frommer Oberherr bezeichnet. Dreizehn Tage nach Barmen, dieselbe Kirche.</w:t>
      </w:r>
    </w:p>
    <w:p>
      <w:pPr>
        <w:spacing w:before="0" w:after="100" w:line="252" w:lineRule="auto"/>
        <w:ind w:left="425" w:hanging="425"/>
      </w:pPr>
      <w:r>
        <w:rPr>
          <w:rFonts w:ascii="Calibri" w:hAnsi="Calibri" w:cs="Calibri"/>
          <w:b/>
          <w:i w:val="0"/>
          <w:color w:val="1E3A5F"/>
          <w:sz w:val="20"/>
        </w:rPr>
        <w:t xml:space="preserve">4  </w:t>
      </w:r>
      <w:r>
        <w:rPr>
          <w:rFonts w:ascii="Calibri" w:hAnsi="Calibri" w:cs="Calibri"/>
          <w:b/>
          <w:i w:val="0"/>
          <w:color w:val="151A21"/>
          <w:sz w:val="20"/>
        </w:rPr>
        <w:t xml:space="preserve">Der Fall Hans Meiser. </w:t>
      </w:r>
      <w:r>
        <w:rPr>
          <w:rFonts w:ascii="Calibri" w:hAnsi="Calibri" w:cs="Calibri"/>
          <w:b w:val="0"/>
          <w:i w:val="0"/>
          <w:color w:val="151A21"/>
          <w:sz w:val="20"/>
        </w:rPr>
        <w:t>Der bayerische Landesbischof verhinderte, dass seine Landeskirche in die Reichskirche eingegliedert wurde — dafür stand er 1934 unter Hausarrest, und Tausende protestierten in Franken. Zugleich hat er sich judenfeindlich geäußert und gegen die Judenverfolgung nie öffentlich protestiert. Deshalb wurden Meiser-Straßen umbenannt, in München 2010.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858"/>
      </w:tblGrid>
      <w:tr>
        <w:tc>
          <w:tcPr>
            <w:tcW w:type="dxa" w:w="9858"/>
            <w:shd w:val="clear" w:fill="E8E2CF"/>
          </w:tcPr>
          <w:p>
            <w:pPr>
              <w:spacing w:before="120" w:after="40" w:line="252" w:lineRule="auto"/>
            </w:pPr>
            <w:r>
              <w:rPr>
                <w:rFonts w:ascii="Calibri" w:hAnsi="Calibri" w:cs="Calibri"/>
                <w:b/>
                <w:i w:val="0"/>
                <w:caps/>
                <w:color w:val="6A5936"/>
                <w:sz w:val="18"/>
              </w:rPr>
              <w:t>Der eine Satz</w:t>
            </w:r>
          </w:p>
          <w:p>
            <w:pPr>
              <w:spacing w:before="0" w:after="140" w:line="252" w:lineRule="auto"/>
            </w:pPr>
            <w:r>
              <w:rPr>
                <w:rFonts w:ascii="Cambria" w:hAnsi="Cambria" w:cs="Cambria"/>
                <w:b w:val="0"/>
                <w:i/>
                <w:color w:val="151A21"/>
                <w:sz w:val="24"/>
              </w:rPr>
              <w:t>Die Grenze verlief 1934 nicht zwischen Kirche und Staat. Sie verlief mitten durch die Kirche.</w:t>
            </w:r>
          </w:p>
        </w:tc>
      </w:tr>
    </w:tbl>
    <w:p>
      <w:pPr>
        <w:spacing w:before="240" w:after="60" w:line="252" w:lineRule="auto"/>
      </w:pPr>
      <w:r>
        <w:rPr>
          <w:rFonts w:ascii="Cambria" w:hAnsi="Cambria" w:cs="Cambria"/>
          <w:b/>
          <w:i w:val="0"/>
          <w:color w:val="1E3A5F"/>
          <w:sz w:val="25"/>
        </w:rPr>
        <w:t>So geht es weiter</w:t>
      </w:r>
    </w:p>
    <w:p>
      <w:pPr>
        <w:spacing w:before="0" w:after="160" w:line="252" w:lineRule="auto"/>
      </w:pPr>
      <w:r>
        <w:rPr>
          <w:rFonts w:ascii="Calibri" w:hAnsi="Calibri" w:cs="Calibri"/>
          <w:b w:val="0"/>
          <w:i w:val="0"/>
          <w:color w:val="151A21"/>
          <w:sz w:val="20"/>
        </w:rPr>
        <w:t>In der nächsten Stunde hängen wir fünf Menschen an eine Wäscheleine zwischen Anpassung und Widerstand — Meiser ist einer davon. Es hilft, wenn du seine zwei Seiten im Kopf hast.</w:t>
      </w:r>
    </w:p>
    <w:p>
      <w:pPr>
        <w:spacing w:before="120" w:after="60" w:line="252" w:lineRule="auto"/>
      </w:pPr>
      <w:r>
        <w:rPr>
          <w:rFonts w:ascii="Cambria" w:hAnsi="Cambria" w:cs="Cambria"/>
          <w:b/>
          <w:i w:val="0"/>
          <w:color w:val="265F53"/>
          <w:sz w:val="25"/>
        </w:rPr>
        <w:t>Freiwillig — wenn dir langweilig ist</w:t>
      </w:r>
    </w:p>
    <w:p>
      <w:pPr>
        <w:spacing w:before="0" w:after="60" w:line="252" w:lineRule="auto"/>
        <w:ind w:left="227"/>
      </w:pPr>
      <w:r>
        <w:rPr>
          <w:rFonts w:ascii="Calibri" w:hAnsi="Calibri" w:cs="Calibri"/>
          <w:b/>
          <w:i w:val="0"/>
          <w:color w:val="265F53"/>
          <w:sz w:val="20"/>
        </w:rPr>
        <w:t xml:space="preserve">Nachlesen · 5 Minuten  </w:t>
      </w:r>
      <w:r>
        <w:rPr>
          <w:rFonts w:ascii="Calibri" w:hAnsi="Calibri" w:cs="Calibri"/>
          <w:b w:val="0"/>
          <w:i w:val="0"/>
          <w:color w:val="151A21"/>
          <w:sz w:val="20"/>
        </w:rPr>
        <w:t>Die Barmer Theologische Erklärung bei der EKD, mit dem Wortlaut der ersten These.</w:t>
      </w:r>
    </w:p>
    <w:p>
      <w:pPr>
        <w:spacing w:before="0" w:after="120" w:line="252" w:lineRule="auto"/>
        <w:ind w:left="227"/>
      </w:pPr>
      <w:hyperlink r:id="rId9">
        <w:r>
          <w:rPr>
            <w:u w:val="single"/>
            <w:color w:val="1E3A5F"/>
            <w:rFonts w:ascii="Calibri" w:hAnsi="Calibri" w:cs="Calibri"/>
            <w:sz w:val="19"/>
          </w:rPr>
          <w:t>https://www.ekd.de/barmer-theologische-erklarung-11292.htm</w:t>
        </w:r>
      </w:hyperlink>
    </w:p>
    <w:p>
      <w:pPr>
        <w:spacing w:before="0" w:after="60" w:line="252" w:lineRule="auto"/>
        <w:ind w:left="227"/>
      </w:pPr>
      <w:r>
        <w:rPr>
          <w:rFonts w:ascii="Calibri" w:hAnsi="Calibri" w:cs="Calibri"/>
          <w:b/>
          <w:i w:val="0"/>
          <w:color w:val="265F53"/>
          <w:sz w:val="20"/>
        </w:rPr>
        <w:t xml:space="preserve">Zum Anschauen  </w:t>
      </w:r>
      <w:r>
        <w:rPr>
          <w:rFonts w:ascii="Calibri" w:hAnsi="Calibri" w:cs="Calibri"/>
          <w:b w:val="0"/>
          <w:i w:val="0"/>
          <w:color w:val="151A21"/>
          <w:sz w:val="20"/>
        </w:rPr>
        <w:t>Eine virtuelle Ausstellung der Deutschen Digitalen Bibliothek zu Barmen — Originalfotos und Dokumente, gut zum Durchklicken.</w:t>
      </w:r>
    </w:p>
    <w:p>
      <w:pPr>
        <w:spacing w:before="0" w:after="120" w:line="252" w:lineRule="auto"/>
        <w:ind w:left="227"/>
      </w:pPr>
      <w:hyperlink r:id="rId10">
        <w:r>
          <w:rPr>
            <w:u w:val="single"/>
            <w:color w:val="1E3A5F"/>
            <w:rFonts w:ascii="Calibri" w:hAnsi="Calibri" w:cs="Calibri"/>
            <w:sz w:val="19"/>
          </w:rPr>
          <w:t>https://ausstellungen.deutsche-digitale-bibliothek.de/jubilaeum-bekenntnis-barmen</w:t>
        </w:r>
      </w:hyperlink>
    </w:p>
    <w:p>
      <w:pPr>
        <w:spacing w:before="240" w:after="0" w:line="252" w:lineRule="auto"/>
        <w:jc w:val="left"/>
      </w:pPr>
      <w:r>
        <w:rPr>
          <w:rFonts w:ascii="Calibri" w:hAnsi="Calibri" w:cs="Calibri"/>
          <w:b w:val="0"/>
          <w:i/>
          <w:color w:val="5A636E"/>
          <w:sz w:val="19"/>
        </w:rPr>
        <w:t>Wenn etwas unklar ist: Frag mich — vor der Stunde, in der Stunde oder per Nachricht. Das ist keine Hausaufgabe und wird nicht eingesammelt. Du sollst nur nicht das Gefühl haben, dass du etwas verpasst hast.</w:t>
      </w:r>
    </w:p>
    <w:sectPr w:rsidR="00FC693F" w:rsidRPr="0006063C" w:rsidSect="00034616">
      <w:pgSz w:w="12240" w:h="15840"/>
      <w:pgMar w:top="1077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kd.de/barmer-theologische-erklarung-11292.htm" TargetMode="External"/><Relationship Id="rId10" Type="http://schemas.openxmlformats.org/officeDocument/2006/relationships/hyperlink" Target="https://ausstellungen.deutsche-digitale-bibliothek.de/jubilaeum-bekenntnis-barm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