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GLM Workbench — User Manual</w:t>
      </w:r>
    </w:p>
    <w:p>
      <w:r>
        <w:t>Walkthrough durch den kompletten Workflow (Stand V3, 2026-08-31): Frequency-GLM, Severity-GLM, Diagnostik, Prediction, Modell-Persistenz und der Pure-Premium-Tarifrechner — auf dem realen freMTPL2-Datensatz (französische Motorhaftpflicht, 678.013 Policen). Die „Erwartet“-Zeilen nennen die verifizierten Referenzwerte, damit jeder Schritt direkt getestet werden kann.</w:t>
      </w:r>
    </w:p>
    <w:p>
      <w:pPr>
        <w:pStyle w:val="Heading1"/>
      </w:pPr>
      <w:r>
        <w:t>1. App starten</w:t>
      </w:r>
    </w:p>
    <w:p>
      <w:pPr>
        <w:pStyle w:val="ListNumber"/>
      </w:pPr>
      <w:r>
        <w:t>Terminal im Repo-Root öffnen.</w:t>
      </w:r>
    </w:p>
    <w:p>
      <w:pPr>
        <w:pStyle w:val="ListNumber"/>
      </w:pPr>
      <w:r>
        <w:t>Einmalig: uv sync (installiert die Abhängigkeiten).</w:t>
      </w:r>
    </w:p>
    <w:p>
      <w:pPr>
        <w:pStyle w:val="ListNumber"/>
      </w:pPr>
      <w:r>
        <w:t>App starten: uv run streamlit run app.py — der Browser öffnet die Home-Seite.</w:t>
      </w:r>
    </w:p>
    <w:p>
      <w:r>
        <w:rPr>
          <w:b/>
        </w:rPr>
        <w:t xml:space="preserve">Erwartet: </w:t>
      </w:r>
      <w:r>
        <w:t>Home zeigt die Sidebar mit 8 Screens, den Workflow-Status („No dataset loaded yet“) und zwei Modell-Status-Zeilen („Frequency model: none …“ / „Severity model: none …“).</w:t>
      </w:r>
    </w:p>
    <w:p>
      <w:r>
        <w:t>Hinweis: Ein Browser-Refresh (F5) startet eine neue Session — der geladene Datensatz ist danach weg und muss neu geladen werden. Gefittete Modelle lassen sich seit V3 aus der Run History zurückladen (Abschnitt 6).</w:t>
      </w:r>
    </w:p>
    <w:p>
      <w:pPr>
        <w:pStyle w:val="Heading1"/>
      </w:pPr>
      <w:r>
        <w:t>2. Teil A — Frequency-Workflow</w:t>
      </w:r>
    </w:p>
    <w:p>
      <w:pPr>
        <w:pStyle w:val="Heading2"/>
      </w:pPr>
      <w:r>
        <w:t>2.1 Data Import</w:t>
      </w:r>
    </w:p>
    <w:p>
      <w:pPr>
        <w:pStyle w:val="ListNumber"/>
      </w:pPr>
      <w:r>
        <w:t>Sidebar: Data Import. Built-in dataset „freMTPL2 — frequency“ ist vorausgewählt.</w:t>
      </w:r>
    </w:p>
    <w:p>
      <w:pPr>
        <w:pStyle w:val="ListNumber"/>
      </w:pPr>
      <w:r>
        <w:t>„Load dataset“ klicken.</w:t>
      </w:r>
    </w:p>
    <w:p>
      <w:r>
        <w:rPr>
          <w:b/>
        </w:rPr>
        <w:t xml:space="preserve">Erwartet: </w:t>
      </w:r>
      <w:r>
        <w:t>„Loaded freMTPL2 …“ mit 678,013 rows; Validierungsreport ohne Fehler.</w:t>
      </w:r>
    </w:p>
    <w:p>
      <w:pPr>
        <w:pStyle w:val="Heading2"/>
      </w:pPr>
      <w:r>
        <w:t>2.2 Data Exploration (optional)</w:t>
      </w:r>
    </w:p>
    <w:p>
      <w:pPr>
        <w:pStyle w:val="ListNumber"/>
      </w:pPr>
      <w:r>
        <w:t>Sidebar: Data Exploration — Kennzahlen, One-Way-Frequenzen, Histogramme ansehen.</w:t>
      </w:r>
    </w:p>
    <w:p>
      <w:r>
        <w:rPr>
          <w:b/>
        </w:rPr>
        <w:t xml:space="preserve">Erwartet: </w:t>
      </w:r>
      <w:r>
        <w:t>Portfolio-Frequenz ≈ 0.1007 Schäden pro Policenjahr.</w:t>
      </w:r>
    </w:p>
    <w:p>
      <w:pPr>
        <w:pStyle w:val="Heading2"/>
      </w:pPr>
      <w:r>
        <w:t>2.3 Feature Engineering (optional)</w:t>
      </w:r>
    </w:p>
    <w:p>
      <w:pPr>
        <w:pStyle w:val="ListNumber"/>
      </w:pPr>
      <w:r>
        <w:t>Sidebar: Feature Engineering — Variablen abwählen, Binning/Log-Transformationen bauen, Exposure bei 1.0 kappen. Für den Standard-Walkthrough: nichts ändern.</w:t>
      </w:r>
    </w:p>
    <w:p>
      <w:pPr>
        <w:pStyle w:val="Heading2"/>
      </w:pPr>
      <w:r>
        <w:t>2.4 Frequency Model</w:t>
      </w:r>
    </w:p>
    <w:p>
      <w:pPr>
        <w:pStyle w:val="ListNumber"/>
      </w:pPr>
      <w:r>
        <w:t>Sidebar: Frequency Model. Distribution „Poisson“ belassen, Formel prüfen.</w:t>
      </w:r>
    </w:p>
    <w:p>
      <w:pPr>
        <w:pStyle w:val="ListNumber"/>
      </w:pPr>
      <w:r>
        <w:t>„Fit model“ klicken (≈12 Sekunden auf 678k Zeilen).</w:t>
      </w:r>
    </w:p>
    <w:p>
      <w:r>
        <w:rPr>
          <w:b/>
        </w:rPr>
        <w:t xml:space="preserve">Erwartet: </w:t>
      </w:r>
      <w:r>
        <w:t>„Model fitted and recorded (AIC 286,703) — saved for reuse.“; Koeffiziententabelle mit Relativitäten; BonusMalus ≈ +2.3% pro Punkt, hochsignifikant. Der Fit wird in der Run History (SQLite) registriert und als Datei unter models/ gespeichert.</w:t>
      </w:r>
    </w:p>
    <w:p>
      <w:pPr>
        <w:pStyle w:val="Heading2"/>
      </w:pPr>
      <w:r>
        <w:t>2.5 Diagnostics</w:t>
      </w:r>
    </w:p>
    <w:p>
      <w:pPr>
        <w:pStyle w:val="ListNumber"/>
      </w:pPr>
      <w:r>
        <w:t>Sidebar: Diagnostics — CI-Whisker-Chart, Residuen (deviance/pearson), QQ-Plot, Kalibrierung.</w:t>
      </w:r>
    </w:p>
    <w:p>
      <w:r>
        <w:rPr>
          <w:b/>
        </w:rPr>
        <w:t xml:space="preserve">Erwartet: </w:t>
      </w:r>
      <w:r>
        <w:t>Kalibrierung: beobachtete vs. vorhergesagte Frequenz pro Band liegen nah beieinander; gewichtetes Mittel 0.1007. Poisson-Residuen wirken gebändert — laut Caption normal, kein Defekt.</w:t>
      </w:r>
    </w:p>
    <w:p>
      <w:pPr>
        <w:pStyle w:val="Heading2"/>
      </w:pPr>
      <w:r>
        <w:t>2.6 Prediction</w:t>
      </w:r>
    </w:p>
    <w:p>
      <w:pPr>
        <w:pStyle w:val="ListNumber"/>
      </w:pPr>
      <w:r>
        <w:t>Sidebar: Prediction. „Single policy“: Defaults = Median-Police; „Predict“ klicken.</w:t>
      </w:r>
    </w:p>
    <w:p>
      <w:pPr>
        <w:pStyle w:val="ListNumber"/>
      </w:pPr>
      <w:r>
        <w:t>„Predict for loaded portfolio“ klicken (Batch über alle Policen).</w:t>
      </w:r>
    </w:p>
    <w:p>
      <w:r>
        <w:rPr>
          <w:b/>
        </w:rPr>
        <w:t xml:space="preserve">Erwartet: </w:t>
      </w:r>
      <w:r>
        <w:t>Total expected claims = 36,102 = Total observed claims (Poisson reproduziert die beobachtete Schadenzahl in-sample per Konstruktion). CSV-Download verfügbar.</w:t>
      </w:r>
    </w:p>
    <w:p>
      <w:pPr>
        <w:pStyle w:val="Heading1"/>
      </w:pPr>
      <w:r>
        <w:t>3. Teil B — Severity-Workflow</w:t>
      </w:r>
    </w:p>
    <w:p>
      <w:pPr>
        <w:pStyle w:val="Heading2"/>
      </w:pPr>
      <w:r>
        <w:t>3.1 Datensatz wechseln</w:t>
      </w:r>
    </w:p>
    <w:p>
      <w:pPr>
        <w:pStyle w:val="ListNumber"/>
      </w:pPr>
      <w:r>
        <w:t>Sidebar: Data Import. Im Dropdown „freMTPL2 — severity“ wählen, „Load dataset“ klicken.</w:t>
      </w:r>
    </w:p>
    <w:p>
      <w:r>
        <w:rPr>
          <w:b/>
        </w:rPr>
        <w:t xml:space="preserve">Erwartet: </w:t>
      </w:r>
      <w:r>
        <w:t>26,444 rows (Schäden mit Beträgen, gejoint mit den Rating-Faktoren).</w:t>
      </w:r>
    </w:p>
    <w:p>
      <w:pPr>
        <w:pStyle w:val="Heading2"/>
      </w:pPr>
      <w:r>
        <w:t>3.2 Severity Model</w:t>
      </w:r>
    </w:p>
    <w:p>
      <w:pPr>
        <w:pStyle w:val="ListNumber"/>
      </w:pPr>
      <w:r>
        <w:t>Sidebar: Severity Model. Distribution „Gamma“ belassen, „Fit model“ (≈2 Sekunden).</w:t>
      </w:r>
    </w:p>
    <w:p>
      <w:r>
        <w:rPr>
          <w:b/>
        </w:rPr>
        <w:t xml:space="preserve">Erwartet: </w:t>
      </w:r>
      <w:r>
        <w:t>AIC 573,121; nur BonusMalus signifikant (41/42 Terme nicht — laut Caption typisch: Severity-Signal ist schwächer als Frequency-Signal).</w:t>
      </w:r>
    </w:p>
    <w:p>
      <w:pPr>
        <w:pStyle w:val="ListNumber"/>
      </w:pPr>
      <w:r>
        <w:t>Optional: Distribution „Inverse Gaussian“ wählen und fitten — der Fit schlägt auf den schweren Tails kontrolliert fehl.</w:t>
      </w:r>
    </w:p>
    <w:p>
      <w:r>
        <w:rPr>
          <w:b/>
        </w:rPr>
        <w:t xml:space="preserve">Erwartet: </w:t>
      </w:r>
      <w:r>
        <w:t>Freundliche Fehlermeldung („… estimation infeasible … Try the Gamma family.“); das vorherige Gamma-Modell bleibt erhalten.</w:t>
      </w:r>
    </w:p>
    <w:p>
      <w:pPr>
        <w:pStyle w:val="Heading2"/>
      </w:pPr>
      <w:r>
        <w:t>3.3 Diagnostics und Prediction (kind-aware)</w:t>
      </w:r>
    </w:p>
    <w:p>
      <w:pPr>
        <w:pStyle w:val="ListNumber"/>
      </w:pPr>
      <w:r>
        <w:t>Sidebar: Diagnostics — jetzt mit Severity-Wording (claim-size relativities, Kalibrierung in Beträgen).</w:t>
      </w:r>
    </w:p>
    <w:p>
      <w:pPr>
        <w:pStyle w:val="ListNumber"/>
      </w:pPr>
      <w:r>
        <w:t>Sidebar: Prediction — „Single claim“ (ohne Exposure-Feld), dann „Predict for loaded claims“.</w:t>
      </w:r>
    </w:p>
    <w:p>
      <w:r>
        <w:rPr>
          <w:b/>
        </w:rPr>
        <w:t xml:space="preserve">Erwartet: </w:t>
      </w:r>
      <w:r>
        <w:t>Mean expected claim amount ≈ 2,231; Batch-Summe ≈ 58,995,121 vs. beobachtet 59,909,216 (−1.53% — ein Log-Link-Gamma reproduziert das Total nicht exakt; die Caption erklärt das). Median-Schaden im Single-What-if ≈ 1,504.</w:t>
      </w:r>
    </w:p>
    <w:p>
      <w:pPr>
        <w:pStyle w:val="Heading1"/>
      </w:pPr>
      <w:r>
        <w:t>4. Per-Kind-Modell-Slots (V3)</w:t>
      </w:r>
    </w:p>
    <w:p>
      <w:r>
        <w:t>Seit V3 leben Frequency- und Severity-Modell in getrennten Slots: Ein neuer Fit verdrängt das jeweils andere Modell nicht mehr. Diagnostics und Prediction folgen dem geladenen Datensatz.</w:t>
      </w:r>
    </w:p>
    <w:p>
      <w:pPr>
        <w:pStyle w:val="ListNumber"/>
      </w:pPr>
      <w:r>
        <w:t>Frequency-Datensatz wieder laden (Data Import) — OHNE neu zu fitten.</w:t>
      </w:r>
    </w:p>
    <w:p>
      <w:pPr>
        <w:pStyle w:val="ListNumber"/>
      </w:pPr>
      <w:r>
        <w:t>Sidebar: Diagnostics.</w:t>
      </w:r>
    </w:p>
    <w:p>
      <w:r>
        <w:rPr>
          <w:b/>
        </w:rPr>
        <w:t xml:space="preserve">Erwartet: </w:t>
      </w:r>
      <w:r>
        <w:t>Die Poisson-Ansichten sind sofort wieder da — das Frequency-Modell hat den Severity-Fit überlebt. Beliebig oft hin- und herwechseln möglich.</w:t>
      </w:r>
    </w:p>
    <w:p>
      <w:pPr>
        <w:pStyle w:val="Heading1"/>
      </w:pPr>
      <w:r>
        <w:t>5. Home als Cockpit</w:t>
      </w:r>
    </w:p>
    <w:p>
      <w:pPr>
        <w:pStyle w:val="ListNumber"/>
      </w:pPr>
      <w:r>
        <w:t>Sidebar: app (Home).</w:t>
      </w:r>
    </w:p>
    <w:p>
      <w:r>
        <w:rPr>
          <w:b/>
        </w:rPr>
        <w:t xml:space="preserve">Erwartet: </w:t>
      </w:r>
      <w:r>
        <w:t>Beide Modell-Status-Zeilen gefüllt (fitted, Familie, AIC) und die Erfolgszeile „Both models in session — ready to quote on Pure Premium.“</w:t>
      </w:r>
    </w:p>
    <w:p>
      <w:pPr>
        <w:pStyle w:val="Heading1"/>
      </w:pPr>
      <w:r>
        <w:t>6. Modell-Persistenz — kein Neu-Fitten nötig</w:t>
      </w:r>
    </w:p>
    <w:p>
      <w:pPr>
        <w:pStyle w:val="ListNumber"/>
      </w:pPr>
      <w:r>
        <w:t>Browser-Refresh (F5) — neue Session, Modelle weg.</w:t>
      </w:r>
    </w:p>
    <w:p>
      <w:pPr>
        <w:pStyle w:val="ListNumber"/>
      </w:pPr>
      <w:r>
        <w:t>Data Import: Frequency-Datensatz laden.</w:t>
      </w:r>
    </w:p>
    <w:p>
      <w:pPr>
        <w:pStyle w:val="ListNumber"/>
      </w:pPr>
      <w:r>
        <w:t>Frequency Model: unter Run History im Dropdown „Load a saved frequency model“ den neuesten Run wählen (Default) und „Load saved model“ klicken.</w:t>
      </w:r>
    </w:p>
    <w:p>
      <w:r>
        <w:rPr>
          <w:b/>
        </w:rPr>
        <w:t xml:space="preserve">Erwartet: </w:t>
      </w:r>
      <w:r>
        <w:t>„Loaded run … — no refit needed.“ in wenigen Sekunden (statt ≈12 s Fit); Kennzahlen und Koeffizienten stehen sofort. Analog auf Severity Model für das Gamma-Modell (Severity-Datensatz laden, Load, Frequency-Datensatz wieder laden).</w:t>
      </w:r>
    </w:p>
    <w:p>
      <w:r>
        <w:t>Bewusste Grenze: Ein GELADENES Modell rechnet und zeigt Koeffizienten, aber die gespeicherte Datei enthält keine Residuen — auf Diagnostics erscheint dafür ein Hinweis („refit in this session …“). Für Residuen-Diagnostik einmal frisch fitten.</w:t>
      </w:r>
    </w:p>
    <w:p>
      <w:pPr>
        <w:pStyle w:val="Heading1"/>
      </w:pPr>
      <w:r>
        <w:t>7. Teil C — Pure Premium: der Tarifrechner</w:t>
      </w:r>
    </w:p>
    <w:p>
      <w:r>
        <w:t>Voraussetzung: Frequency-Datensatz geladen, beide Modell-Slots gefüllt (gefittet oder geladen). Fehlt etwas, sagt der Screen genau, was zu tun ist.</w:t>
      </w:r>
    </w:p>
    <w:p>
      <w:pPr>
        <w:pStyle w:val="Heading2"/>
      </w:pPr>
      <w:r>
        <w:t>7.1 Eine Police abschließen (Quote)</w:t>
      </w:r>
    </w:p>
    <w:p>
      <w:pPr>
        <w:pStyle w:val="ListNumber"/>
      </w:pPr>
      <w:r>
        <w:t>Sidebar: Pure Premium. Defaults = Median-Police, Exposure 1.0. „Get quote“ klicken.</w:t>
      </w:r>
    </w:p>
    <w:p>
      <w:r>
        <w:rPr>
          <w:b/>
        </w:rPr>
        <w:t xml:space="preserve">Erwartet: </w:t>
      </w:r>
      <w:r>
        <w:t>Drei Kennzahlen für die Median-Police: Expected claim frequency 0.0670, Expected claim amount 1,450, Risk premium 97.22 €/Jahr. Caption: reine Risikoprämie, keine Kosten-/Gewinnzuschläge. (Die Median-Police ist deutlich besser als der Portfolio-Durchschnitt — Frequenz 0.067 vs. 0.1007, Schadenhöhe 1,450 vs. 2,266.)</w:t>
      </w:r>
    </w:p>
    <w:p>
      <w:pPr>
        <w:pStyle w:val="ListNumber"/>
      </w:pPr>
      <w:r>
        <w:t>BonusMalus im Widget erhöhen (z. B. 50 → 100) und erneut „Get quote“.</w:t>
      </w:r>
    </w:p>
    <w:p>
      <w:r>
        <w:rPr>
          <w:b/>
        </w:rPr>
        <w:t xml:space="preserve">Erwartet: </w:t>
      </w:r>
      <w:r>
        <w:t>Die Prämie steigt strikt (BonusMalus wirkt in BEIDEN Modellen positiv).</w:t>
      </w:r>
    </w:p>
    <w:p>
      <w:pPr>
        <w:pStyle w:val="ListNumber"/>
      </w:pPr>
      <w:r>
        <w:t>Exposure auf 0.5 setzen und erneut quoten.</w:t>
      </w:r>
    </w:p>
    <w:p>
      <w:r>
        <w:rPr>
          <w:b/>
        </w:rPr>
        <w:t xml:space="preserve">Erwartet: </w:t>
      </w:r>
      <w:r>
        <w:t>Frequenz und Schadenhöhe unverändert; die Risk premium halbiert sich exakt.</w:t>
      </w:r>
    </w:p>
    <w:p>
      <w:pPr>
        <w:pStyle w:val="Heading2"/>
      </w:pPr>
      <w:r>
        <w:t>7.2 Prämien-Aufschlüsselung</w:t>
      </w:r>
    </w:p>
    <w:p>
      <w:pPr>
        <w:pStyle w:val="ListNumber"/>
      </w:pPr>
      <w:r>
        <w:t>Unter der Quote die Tabelle „Premium breakdown“ ansehen.</w:t>
      </w:r>
    </w:p>
    <w:p>
      <w:r>
        <w:rPr>
          <w:b/>
        </w:rPr>
        <w:t xml:space="preserve">Erwartet: </w:t>
      </w:r>
      <w:r>
        <w:t>Referenzprämie × Combined-Faktoren × Exposure = Quote (exakt). Die Referenz-Police: Kategorien auf Baseline-Level, numerische Werte auf dem Portfolio-Median — für die unveränderte Median-Police sind daher alle Faktoren 1.0 und die Referenzprämie ist die Quote selbst. Severity-Faktoren liegen nahe 1.00 — die Tarifdifferenzierung kommt fast ganz aus der Frequenz.</w:t>
      </w:r>
    </w:p>
    <w:p>
      <w:pPr>
        <w:pStyle w:val="Heading2"/>
      </w:pPr>
      <w:r>
        <w:t>7.3 Portfolio-Batch</w:t>
      </w:r>
    </w:p>
    <w:p>
      <w:pPr>
        <w:pStyle w:val="ListNumber"/>
      </w:pPr>
      <w:r>
        <w:t>„Compute premiums for loaded portfolio“ klicken (≈ Minute für 678k Policen).</w:t>
      </w:r>
    </w:p>
    <w:p>
      <w:r>
        <w:rPr>
          <w:b/>
        </w:rPr>
        <w:t xml:space="preserve">Erwartet: </w:t>
      </w:r>
      <w:r>
        <w:t>Total expected loss ≈ 79.8 Mio. €; Total expected claims ≈ 36,102 (Quercheck zum Prediction-Screen); Average annual premium ≈ 243 €; Perzentil-Tabelle p25–p99. Caption erklärt, warum es KEINEN Vergleich mit beobachteten Kosten gibt (die Severity-Tabelle deckt nur ≈73% der Schäden) und dass der −1.5%-Gamma-Gap ins Total durchschlägt. CSV-Download: pure_premium_predictions.csv.</w:t>
      </w:r>
    </w:p>
    <w:p>
      <w:pPr>
        <w:pStyle w:val="Heading1"/>
      </w:pPr>
      <w:r>
        <w:t>8. Bekannte Punkte beim Testen</w:t>
      </w:r>
    </w:p>
    <w:p>
      <w:pPr>
        <w:pStyle w:val="ListBullet"/>
      </w:pPr>
      <w:r>
        <w:t>F5/Refresh = neue Session: Datensatz neu laden; Modelle per „Load saved model“ zurückholen.</w:t>
      </w:r>
    </w:p>
    <w:p>
      <w:pPr>
        <w:pStyle w:val="ListBullet"/>
      </w:pPr>
      <w:r>
        <w:t>Run History und Modelldateien überleben App-Neustarts (SQLite data/workbench.db + models/*.pickle — nie löschen; die E2E-Runner hängen bewusst echte Runs an).</w:t>
      </w:r>
    </w:p>
    <w:p>
      <w:pPr>
        <w:pStyle w:val="ListBullet"/>
      </w:pPr>
      <w:r>
        <w:t>Stepwise Selection auf dem Frequency-Screen dauert Minuten (viele Refits) — verändert die Modell-Slots nicht, bis explizit neu gefittet wird.</w:t>
      </w:r>
    </w:p>
    <w:p>
      <w:pPr>
        <w:pStyle w:val="ListBullet"/>
      </w:pPr>
      <w:r>
        <w:t>Der Inverse-Gaussian-Fehlschlag auf den Severity-Daten ist erwartetes, abgefangenes Verhalten — kein Bug.</w:t>
      </w:r>
    </w:p>
    <w:p>
      <w:pPr>
        <w:pStyle w:val="ListBullet"/>
      </w:pPr>
      <w:r>
        <w:t>Alle Referenzwerte in diesem Manual stammen aus den committeten E2E-Läufen vom 2026-08-31 (.planning/e2e-tests/*.md, Abschnitt Results).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