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858E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5858E6" w:rsidRDefault="005858E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5858E6" w:rsidRPr="00172CE2"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5858E6"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5858E6" w:rsidRPr="00B35263" w:rsidRDefault="005858E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5858E6" w:rsidRPr="00B35263" w:rsidRDefault="005858E6" w:rsidP="00B35263">
      <w:pPr>
        <w:widowControl w:val="0"/>
        <w:tabs>
          <w:tab w:val="left" w:pos="90"/>
          <w:tab w:val="left" w:pos="2775"/>
          <w:tab w:val="left" w:pos="5550"/>
        </w:tabs>
        <w:autoSpaceDE w:val="0"/>
        <w:autoSpaceDN w:val="0"/>
        <w:adjustRightInd w:val="0"/>
        <w:spacing w:before="21"/>
        <w:rPr>
          <w:sz w:val="56"/>
          <w:szCs w:val="56"/>
        </w:rPr>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Sehr geehrte Damen und Herren,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5858E6" w:rsidRDefault="005858E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6211"/>
      </w:tblGrid>
      <w:tr w:rsidR="005858E6" w:rsidRPr="00F80633" w:rsidTr="008272C5">
        <w:trPr>
          <w:trHeight w:val="467"/>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Tr="008272C5">
        <w:trPr>
          <w:trHeight w:val="598"/>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Del="00F80633" w:rsidTr="008272C5">
        <w:trPr>
          <w:trHeight w:val="561"/>
        </w:trPr>
        <w:tc>
          <w:tcPr>
            <w:tcW w:w="3369"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p>
        </w:tc>
      </w:tr>
    </w:tbl>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freundlichen Grüßen,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D8683C">
      <w:pPr>
        <w:widowControl w:val="0"/>
        <w:tabs>
          <w:tab w:val="left" w:pos="90"/>
          <w:tab w:val="left" w:pos="2775"/>
          <w:tab w:val="left" w:pos="5550"/>
        </w:tabs>
        <w:autoSpaceDE w:val="0"/>
        <w:autoSpaceDN w:val="0"/>
        <w:adjustRightInd w:val="0"/>
        <w:spacing w:before="21"/>
      </w:pPr>
      <w:r>
        <w:t>Ihr NRZM - Team</w:t>
      </w:r>
    </w:p>
    <w:p w:rsidR="005858E6" w:rsidRDefault="005858E6" w:rsidP="00D8683C">
      <w:pPr>
        <w:widowControl w:val="0"/>
        <w:tabs>
          <w:tab w:val="left" w:pos="90"/>
          <w:tab w:val="left" w:pos="2775"/>
          <w:tab w:val="left" w:pos="5550"/>
        </w:tabs>
        <w:autoSpaceDE w:val="0"/>
        <w:autoSpaceDN w:val="0"/>
        <w:adjustRightInd w:val="0"/>
        <w:spacing w:before="21"/>
      </w:pPr>
    </w:p>
    <w:p w:rsidR="005858E6" w:rsidRDefault="005858E6" w:rsidP="00D8683C"/>
    <w:p w:rsidR="007A5BE8" w:rsidRPr="004659AD" w:rsidRDefault="005858E6" w:rsidP="00644979">
      <w:pPr>
        <w:rPr>
          <w:rFonts w:ascii="Arial" w:hAnsi="Arial" w:cs="Arial"/>
        </w:rPr>
      </w:pPr>
      <w:r>
        <w:rPr>
          <w:rFonts w:ascii="Arial" w:hAnsi="Arial" w:cs="Arial"/>
        </w:rPr>
        <w:fldChar w:fldCharType="end"/>
      </w:r>
      <w:r w:rsidR="007A5BE8">
        <w:rPr>
          <w:rFonts w:ascii="Arial" w:hAnsi="Arial" w:cs="Arial"/>
        </w:rPr>
        <w:fldChar w:fldCharType="begin"/>
      </w:r>
      <w:r w:rsidR="007A5BE8">
        <w:rPr>
          <w:rFonts w:ascii="Arial" w:hAnsi="Arial" w:cs="Arial"/>
        </w:rPr>
        <w:instrText xml:space="preserve"> INCLUDETEXT  "C:\\Users\\mrt\\Source\\Repos\\Haemophilus\\HaemophilusWeb\\ReportTemplates\\Sonstige - lowBLNAR CTX-R Imi-R v1.docx" </w:instrText>
      </w:r>
      <w:r w:rsidR="007A5BE8">
        <w:rPr>
          <w:rFonts w:ascii="Arial" w:hAnsi="Arial" w:cs="Arial"/>
        </w:rPr>
        <w:fldChar w:fldCharType="separate"/>
      </w:r>
      <w:r w:rsidR="007A5BE8">
        <w:fldChar w:fldCharType="begin"/>
      </w:r>
      <w:r w:rsidR="007A5BE8">
        <w:instrText xml:space="preserve"> INCLUDETEXT  "C:\\Users\\mrt\\Source\\Repos\\Haemophilus\\HaemophilusWeb\\ReportTemplates\\includes\\Seite 1.docx" </w:instrText>
      </w:r>
      <w:r w:rsidR="007A5BE8">
        <w:fldChar w:fldCharType="separate"/>
      </w:r>
      <w:r w:rsidR="007A5BE8">
        <w:rPr>
          <w:rFonts w:ascii="Arial" w:hAnsi="Arial" w:cs="Arial"/>
        </w:rPr>
        <w:t>{SenderName}</w:t>
      </w:r>
    </w:p>
    <w:p w:rsidR="007A5BE8" w:rsidRPr="004659AD" w:rsidRDefault="007A5BE8" w:rsidP="00644979">
      <w:pPr>
        <w:rPr>
          <w:rFonts w:ascii="Arial" w:hAnsi="Arial" w:cs="Arial"/>
        </w:rPr>
      </w:pPr>
      <w:r>
        <w:rPr>
          <w:rFonts w:ascii="Arial" w:hAnsi="Arial" w:cs="Arial"/>
        </w:rPr>
        <w:lastRenderedPageBreak/>
        <w:t>{SenderStreet}</w:t>
      </w:r>
    </w:p>
    <w:p w:rsidR="007A5BE8" w:rsidRPr="00CF0FB3" w:rsidRDefault="007A5BE8" w:rsidP="00644979">
      <w:pPr>
        <w:rPr>
          <w:rFonts w:ascii="Arial" w:hAnsi="Arial" w:cs="Arial"/>
          <w:bCs/>
        </w:rPr>
      </w:pPr>
      <w:r w:rsidRPr="00CF0FB3">
        <w:rPr>
          <w:rFonts w:ascii="Arial" w:hAnsi="Arial" w:cs="Arial"/>
          <w:bCs/>
        </w:rPr>
        <w:t>{SenderCity}</w:t>
      </w:r>
    </w:p>
    <w:p w:rsidR="007A5BE8" w:rsidRDefault="007A5BE8" w:rsidP="00644979">
      <w:pPr>
        <w:rPr>
          <w:rFonts w:ascii="Arial" w:hAnsi="Arial" w:cs="Arial"/>
        </w:rPr>
      </w:pPr>
    </w:p>
    <w:p w:rsidR="007A5BE8" w:rsidRPr="007E1298" w:rsidRDefault="007A5BE8" w:rsidP="00644979">
      <w:pPr>
        <w:rPr>
          <w:rFonts w:ascii="Arial" w:hAnsi="Arial" w:cs="Arial"/>
          <w:b/>
          <w:bCs/>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Pr="003136E9" w:rsidRDefault="007A5BE8"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7A5BE8" w:rsidRPr="0076291A" w:rsidTr="001421A2">
        <w:trPr>
          <w:trHeight w:val="360"/>
        </w:trPr>
        <w:tc>
          <w:tcPr>
            <w:tcW w:w="2644" w:type="dxa"/>
            <w:gridSpan w:val="2"/>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22"/>
                <w:szCs w:val="22"/>
              </w:rPr>
            </w:pPr>
          </w:p>
        </w:tc>
      </w:tr>
      <w:tr w:rsidR="007A5BE8"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7A5BE8" w:rsidRPr="00F923CE" w:rsidRDefault="007A5BE8"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1"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1"/>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7A5BE8"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7A5BE8" w:rsidRPr="0051595E" w:rsidRDefault="007A5BE8"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7A5BE8">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r>
      <w:tr w:rsidR="007A5BE8"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r>
      <w:tr w:rsidR="007A5BE8"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7A5BE8" w:rsidRPr="00D30BF0" w:rsidRDefault="007A5BE8" w:rsidP="001421A2">
            <w:pPr>
              <w:rPr>
                <w:rFonts w:ascii="Arial" w:hAnsi="Arial" w:cs="Arial"/>
                <w:b/>
                <w:bCs/>
                <w:i/>
                <w:iCs/>
                <w:sz w:val="22"/>
                <w:szCs w:val="22"/>
              </w:rPr>
            </w:pPr>
            <w:r w:rsidRPr="00D40314">
              <w:rPr>
                <w:rFonts w:ascii="Arial" w:hAnsi="Arial" w:cs="Arial"/>
                <w:b/>
                <w:bCs/>
                <w:i/>
                <w:iCs/>
                <w:sz w:val="22"/>
                <w:szCs w:val="22"/>
              </w:rPr>
              <w:t>{EvaluationString}</w:t>
            </w:r>
          </w:p>
        </w:tc>
      </w:tr>
      <w:tr w:rsidR="007A5BE8"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7A5BE8" w:rsidRPr="00D30BF0" w:rsidRDefault="007A5BE8"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7A5BE8" w:rsidRPr="00D30BF0" w:rsidRDefault="007A5BE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7A5BE8"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7A5BE8" w:rsidTr="001421A2">
              <w:tc>
                <w:tcPr>
                  <w:tcW w:w="1914" w:type="dxa"/>
                  <w:shd w:val="clear" w:color="auto" w:fill="auto"/>
                </w:tcPr>
                <w:p w:rsidR="007A5BE8" w:rsidRPr="00665A18" w:rsidRDefault="007A5BE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7A5BE8" w:rsidRPr="00665A18" w:rsidRDefault="007A5BE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7A5BE8" w:rsidRPr="00D30BF0" w:rsidRDefault="007A5BE8" w:rsidP="001421A2">
            <w:pPr>
              <w:rPr>
                <w:rFonts w:ascii="Arial" w:hAnsi="Arial" w:cs="Arial"/>
                <w:b/>
                <w:bCs/>
                <w:color w:val="000000"/>
                <w:sz w:val="22"/>
                <w:szCs w:val="22"/>
              </w:rPr>
            </w:pPr>
          </w:p>
        </w:tc>
      </w:tr>
    </w:tbl>
    <w:p w:rsidR="007A5BE8" w:rsidRDefault="007A5BE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7A5BE8" w:rsidRPr="0001760C" w:rsidRDefault="007A5BE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rsidR="007A5BE8" w:rsidRPr="00644979" w:rsidRDefault="007A5BE8" w:rsidP="00644979">
      <w:r w:rsidRPr="0001760C">
        <w:rPr>
          <w:rFonts w:ascii="Arial" w:hAnsi="Arial" w:cs="Arial"/>
        </w:rPr>
        <w:t>Untersuchungen zur Antibiotika-Resistenz</w:t>
      </w:r>
      <w:r>
        <w:rPr>
          <w:rFonts w:ascii="Arial" w:hAnsi="Arial" w:cs="Arial"/>
        </w:rPr>
        <w:t>: siehe nachfolgende Seite.</w:t>
      </w:r>
    </w:p>
    <w:p w:rsidR="007A5BE8" w:rsidRPr="001623D5" w:rsidRDefault="007A5BE8" w:rsidP="00EF6C6A">
      <w:pPr>
        <w:pStyle w:val="Kopfzeile"/>
      </w:pPr>
      <w:r>
        <w:fldChar w:fldCharType="end"/>
      </w:r>
    </w:p>
    <w:p w:rsidR="007A5BE8" w:rsidRPr="00C75525" w:rsidRDefault="007A5BE8"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7A5BE8" w:rsidRDefault="007A5BE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7A5BE8" w:rsidRPr="00F923CE" w:rsidTr="00C75525">
        <w:trPr>
          <w:trHeight w:val="318"/>
        </w:trPr>
        <w:tc>
          <w:tcPr>
            <w:tcW w:w="2389" w:type="dxa"/>
            <w:vMerge w:val="restart"/>
            <w:shd w:val="clear" w:color="000000" w:fill="BFBFBF"/>
            <w:vAlign w:val="center"/>
          </w:tcPr>
          <w:p w:rsidR="007A5BE8" w:rsidRPr="005B3C64" w:rsidRDefault="007A5BE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7A5BE8" w:rsidRDefault="007A5BE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7A5BE8" w:rsidRDefault="007A5BE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7A5BE8" w:rsidRPr="00F923CE" w:rsidTr="00C75525">
        <w:trPr>
          <w:trHeight w:val="318"/>
        </w:trPr>
        <w:tc>
          <w:tcPr>
            <w:tcW w:w="2389" w:type="dxa"/>
            <w:vMerge/>
            <w:shd w:val="clear" w:color="000000" w:fill="BFBFBF"/>
            <w:vAlign w:val="center"/>
          </w:tcPr>
          <w:p w:rsidR="007A5BE8" w:rsidRPr="005B3C64" w:rsidRDefault="007A5BE8" w:rsidP="00BA66DD">
            <w:pPr>
              <w:rPr>
                <w:rFonts w:ascii="Symbol" w:hAnsi="Symbol" w:cs="Arial"/>
                <w:b/>
                <w:bCs/>
                <w:iCs/>
                <w:sz w:val="22"/>
                <w:szCs w:val="22"/>
              </w:rPr>
            </w:pPr>
          </w:p>
        </w:tc>
        <w:tc>
          <w:tcPr>
            <w:tcW w:w="2588" w:type="dxa"/>
            <w:vMerge/>
            <w:vAlign w:val="center"/>
          </w:tcPr>
          <w:p w:rsidR="007A5BE8" w:rsidRPr="00F923CE" w:rsidRDefault="007A5BE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7A5BE8" w:rsidRDefault="007A5BE8" w:rsidP="00C75525">
            <w:pPr>
              <w:rPr>
                <w:rFonts w:ascii="Arial" w:hAnsi="Arial" w:cs="Arial"/>
                <w:b/>
                <w:bCs/>
                <w:color w:val="000000"/>
                <w:sz w:val="22"/>
                <w:szCs w:val="22"/>
              </w:rPr>
            </w:pPr>
            <w:r>
              <w:rPr>
                <w:rFonts w:ascii="Arial" w:hAnsi="Arial" w:cs="Arial"/>
                <w:b/>
                <w:bCs/>
                <w:color w:val="000000"/>
                <w:sz w:val="22"/>
                <w:szCs w:val="22"/>
              </w:rPr>
              <w:t>gültig seit</w:t>
            </w:r>
          </w:p>
        </w:tc>
      </w:tr>
      <w:tr w:rsidR="007A5BE8" w:rsidRPr="00F923CE" w:rsidTr="00C75525">
        <w:trPr>
          <w:trHeight w:val="300"/>
        </w:trPr>
        <w:tc>
          <w:tcPr>
            <w:tcW w:w="2389" w:type="dxa"/>
            <w:shd w:val="clear" w:color="000000" w:fill="BFBFBF"/>
          </w:tcPr>
          <w:p w:rsidR="007A5BE8" w:rsidRPr="005B3C64" w:rsidRDefault="007A5BE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7A5BE8" w:rsidRPr="00F923CE" w:rsidRDefault="007A5BE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7A5BE8" w:rsidRDefault="007A5BE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7A5BE8" w:rsidRPr="000F3FD1" w:rsidRDefault="007A5BE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7A5BE8" w:rsidRPr="000F3FD1" w:rsidRDefault="007A5BE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u w:val="single"/>
        </w:rPr>
        <w:t>Interpretation</w:t>
      </w:r>
      <w:r w:rsidRPr="004569BF">
        <w:rPr>
          <w:rFonts w:ascii="Arial" w:hAnsi="Arial" w:cs="Arial"/>
          <w:bCs/>
          <w:color w:val="000000"/>
          <w:sz w:val="22"/>
          <w:szCs w:val="22"/>
        </w:rPr>
        <w:t xml:space="preserve">: Die Resistenztestung spricht für ein </w:t>
      </w:r>
      <w:r w:rsidRPr="004569BF">
        <w:rPr>
          <w:rFonts w:ascii="Symbol" w:hAnsi="Symbol" w:cs="Arial"/>
          <w:bCs/>
          <w:iCs/>
          <w:sz w:val="22"/>
          <w:szCs w:val="22"/>
        </w:rPr>
        <w:t></w:t>
      </w:r>
      <w:r w:rsidRPr="004569BF">
        <w:rPr>
          <w:rFonts w:ascii="Arial" w:hAnsi="Arial" w:cs="Arial"/>
          <w:bCs/>
          <w:color w:val="000000"/>
          <w:sz w:val="22"/>
          <w:szCs w:val="22"/>
        </w:rPr>
        <w:noBreakHyphen/>
        <w:t xml:space="preserve">Laktamase-negatives Ampicillin-sensibles Isolat. Die MHK für Ampicillin befand sich jedoch am Grenzwert. Eine </w:t>
      </w:r>
      <w:r w:rsidRPr="004569BF">
        <w:rPr>
          <w:rFonts w:ascii="Symbol" w:hAnsi="Symbol" w:cs="Arial"/>
          <w:bCs/>
          <w:iCs/>
          <w:sz w:val="22"/>
          <w:szCs w:val="22"/>
        </w:rPr>
        <w:t></w:t>
      </w:r>
      <w:r w:rsidRPr="004569BF">
        <w:rPr>
          <w:rFonts w:ascii="Arial" w:hAnsi="Arial" w:cs="Arial"/>
          <w:bCs/>
          <w:color w:val="000000"/>
          <w:sz w:val="22"/>
          <w:szCs w:val="22"/>
        </w:rPr>
        <w:noBreakHyphen/>
        <w:t>Laktamase-unabhängige low level Resistenz gegen Ampicillin (sog. lowBLNAR) ist nicht auszuschließen. BLNAR </w:t>
      </w:r>
      <w:r w:rsidRPr="004569BF">
        <w:rPr>
          <w:rFonts w:ascii="Arial" w:hAnsi="Arial" w:cs="Arial"/>
          <w:bCs/>
          <w:i/>
          <w:color w:val="000000"/>
          <w:sz w:val="22"/>
          <w:szCs w:val="22"/>
        </w:rPr>
        <w:t>H. influenzae</w:t>
      </w:r>
      <w:r w:rsidRPr="004569BF">
        <w:rPr>
          <w:rFonts w:ascii="Arial" w:hAnsi="Arial" w:cs="Arial"/>
          <w:bCs/>
          <w:color w:val="000000"/>
          <w:sz w:val="22"/>
          <w:szCs w:val="22"/>
        </w:rPr>
        <w:noBreakHyphen/>
        <w:t>Isolate weisen einen β</w:t>
      </w:r>
      <w:r w:rsidRPr="004569BF">
        <w:rPr>
          <w:rFonts w:ascii="Arial" w:hAnsi="Arial" w:cs="Arial"/>
          <w:bCs/>
          <w:color w:val="000000"/>
          <w:sz w:val="22"/>
          <w:szCs w:val="22"/>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4569BF">
        <w:rPr>
          <w:rFonts w:ascii="Arial" w:hAnsi="Arial" w:cs="Arial"/>
          <w:bCs/>
          <w:color w:val="000000"/>
          <w:sz w:val="22"/>
          <w:szCs w:val="22"/>
          <w:vertAlign w:val="superscript"/>
        </w:rPr>
        <w:t>1,2</w:t>
      </w:r>
      <w:r w:rsidRPr="004569BF">
        <w:rPr>
          <w:rFonts w:ascii="Arial" w:hAnsi="Arial" w:cs="Arial"/>
          <w:bCs/>
          <w:color w:val="000000"/>
          <w:sz w:val="22"/>
          <w:szCs w:val="22"/>
        </w:rPr>
        <w:t>.</w:t>
      </w:r>
    </w:p>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rPr>
        <w:t>Aufgrund Ihrer Angaben wurde die Empfindlichkeit von Cefotaxim und Imipenem überprüft. In diesem Fall konnte eine – sehr selten vorkommende – Resistenz gegen Cefotaxim wie auch gegen Imipenem bestätigt werden</w:t>
      </w:r>
      <w:r w:rsidRPr="004569BF">
        <w:rPr>
          <w:rFonts w:ascii="Arial" w:hAnsi="Arial" w:cs="Arial"/>
          <w:bCs/>
          <w:color w:val="000000"/>
          <w:sz w:val="22"/>
          <w:szCs w:val="22"/>
          <w:vertAlign w:val="superscript"/>
        </w:rPr>
        <w:t>3</w:t>
      </w:r>
      <w:r w:rsidRPr="004569BF">
        <w:rPr>
          <w:rFonts w:ascii="Arial" w:hAnsi="Arial" w:cs="Arial"/>
          <w:bCs/>
          <w:color w:val="000000"/>
          <w:sz w:val="22"/>
          <w:szCs w:val="22"/>
        </w:rPr>
        <w:t>. Die Carbapenem-Resistenz ist mit hoher Wahrscheinlichkeit auf eine Mutation des Penicillin-Bindeproteins PBP3 zurückzuführen</w:t>
      </w:r>
      <w:r w:rsidRPr="004569BF">
        <w:rPr>
          <w:rFonts w:ascii="Arial" w:hAnsi="Arial" w:cs="Arial"/>
          <w:bCs/>
          <w:color w:val="000000"/>
          <w:sz w:val="22"/>
          <w:szCs w:val="22"/>
          <w:vertAlign w:val="superscript"/>
        </w:rPr>
        <w:t>4</w:t>
      </w:r>
      <w:r w:rsidRPr="004569BF">
        <w:rPr>
          <w:rFonts w:ascii="Arial" w:hAnsi="Arial" w:cs="Arial"/>
          <w:bCs/>
          <w:color w:val="000000"/>
          <w:sz w:val="22"/>
          <w:szCs w:val="22"/>
        </w:rPr>
        <w:t xml:space="preserve">. Eine molekulare Untersuchung des Resistenzmechanismus wird ggf. im Rahmen von Studien des NRZMHi durchgeführt. </w:t>
      </w:r>
    </w:p>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sz w:val="22"/>
          <w:szCs w:val="22"/>
        </w:rPr>
        <w:t>Literatur:</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rPr>
        <w:t xml:space="preserve">1. Jorgensen JH, Alexander GA. </w:t>
      </w:r>
      <w:r w:rsidRPr="004569BF">
        <w:rPr>
          <w:rFonts w:ascii="Arial" w:hAnsi="Arial" w:cs="Arial"/>
          <w:sz w:val="22"/>
          <w:szCs w:val="22"/>
          <w:lang w:val="en-US"/>
        </w:rPr>
        <w:t xml:space="preserve">Comparative activities of selected beta-lactam antibiotics against </w:t>
      </w:r>
      <w:r w:rsidRPr="004569BF">
        <w:rPr>
          <w:rFonts w:ascii="Arial" w:hAnsi="Arial" w:cs="Arial"/>
          <w:i/>
          <w:sz w:val="22"/>
          <w:szCs w:val="22"/>
          <w:lang w:val="en-US"/>
        </w:rPr>
        <w:t>Haemophilus influenzae</w:t>
      </w:r>
      <w:r w:rsidRPr="004569BF">
        <w:rPr>
          <w:rFonts w:ascii="Arial" w:hAnsi="Arial" w:cs="Arial"/>
          <w:sz w:val="22"/>
          <w:szCs w:val="22"/>
          <w:lang w:val="en-US"/>
        </w:rPr>
        <w:t>. Antimicrob Agents Chemother. 1978 Feb;13(2):342-3.</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2.</w:t>
      </w:r>
      <w:r w:rsidRPr="004569BF">
        <w:rPr>
          <w:sz w:val="22"/>
          <w:szCs w:val="22"/>
          <w:lang w:val="en-US"/>
        </w:rPr>
        <w:t xml:space="preserve"> </w:t>
      </w:r>
      <w:r w:rsidRPr="004569BF">
        <w:rPr>
          <w:rFonts w:ascii="Arial" w:hAnsi="Arial" w:cs="Arial"/>
          <w:sz w:val="22"/>
          <w:szCs w:val="22"/>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3. Leclercq R, Cantón R, Brown DF, Giske CG, Heisig P, MacGowan AP, Mouton JW, Nordmann P, Rodloff AC, Rossolini GM, Soussy CJ, Steinbakk M, Winstanley TG, Kahlmeter G. EUCAST expert rules in antimicrobial susceptibility testing. Clin Microbiol Infect. 2013 19(2): 141–160.</w:t>
      </w:r>
    </w:p>
    <w:p w:rsidR="007A5BE8" w:rsidRPr="008E63A1" w:rsidRDefault="007A5BE8" w:rsidP="004569BF">
      <w:pPr>
        <w:widowControl w:val="0"/>
        <w:tabs>
          <w:tab w:val="left" w:pos="90"/>
        </w:tabs>
        <w:autoSpaceDE w:val="0"/>
        <w:autoSpaceDN w:val="0"/>
        <w:adjustRightInd w:val="0"/>
        <w:spacing w:before="93"/>
        <w:rPr>
          <w:rFonts w:ascii="Arial" w:hAnsi="Arial" w:cs="Arial"/>
        </w:rPr>
      </w:pPr>
      <w:r w:rsidRPr="004569BF">
        <w:rPr>
          <w:rFonts w:ascii="Arial" w:hAnsi="Arial" w:cs="Arial"/>
          <w:sz w:val="22"/>
          <w:szCs w:val="22"/>
          <w:lang w:val="en-US"/>
        </w:rPr>
        <w:t xml:space="preserve">4. Cerquetti M, Giufrè M, Cardines R, Mastrantonio P. First characterization of heterogeneous resistance to imipenem in invasive nontypeable Haemophilus influenzae isolates. </w:t>
      </w:r>
      <w:r w:rsidRPr="004569BF">
        <w:rPr>
          <w:rFonts w:ascii="Arial" w:hAnsi="Arial" w:cs="Arial"/>
          <w:sz w:val="22"/>
          <w:szCs w:val="22"/>
        </w:rPr>
        <w:t>Antimicrob Agents Chemother. 2007 Sep;51(9):3155-61.</w:t>
      </w:r>
    </w:p>
    <w:p w:rsidR="007A5BE8" w:rsidRPr="008E63A1" w:rsidRDefault="007A5BE8" w:rsidP="008E63A1">
      <w:pPr>
        <w:widowControl w:val="0"/>
        <w:tabs>
          <w:tab w:val="left" w:pos="90"/>
        </w:tabs>
        <w:autoSpaceDE w:val="0"/>
        <w:autoSpaceDN w:val="0"/>
        <w:adjustRightInd w:val="0"/>
        <w:spacing w:before="93"/>
        <w:rPr>
          <w:rFonts w:ascii="Arial" w:hAnsi="Arial" w:cs="Arial"/>
        </w:rPr>
      </w:pPr>
    </w:p>
    <w:p w:rsidR="007A5BE8" w:rsidRDefault="007A5BE8"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7A5BE8" w:rsidRDefault="007A5BE8" w:rsidP="00C71F8A">
      <w:pPr>
        <w:widowControl w:val="0"/>
        <w:tabs>
          <w:tab w:val="left" w:pos="90"/>
        </w:tabs>
        <w:autoSpaceDE w:val="0"/>
        <w:autoSpaceDN w:val="0"/>
        <w:adjustRightInd w:val="0"/>
        <w:spacing w:before="93"/>
        <w:rPr>
          <w:rFonts w:ascii="Arial" w:hAnsi="Arial" w:cs="Arial"/>
          <w:color w:val="000000"/>
        </w:rPr>
      </w:pPr>
    </w:p>
    <w:p w:rsidR="007A5BE8" w:rsidRDefault="007A5BE8" w:rsidP="00C71F8A">
      <w:pPr>
        <w:widowControl w:val="0"/>
        <w:tabs>
          <w:tab w:val="left" w:pos="90"/>
        </w:tabs>
        <w:autoSpaceDE w:val="0"/>
        <w:autoSpaceDN w:val="0"/>
        <w:adjustRightInd w:val="0"/>
        <w:spacing w:before="93"/>
        <w:rPr>
          <w:rFonts w:ascii="Arial" w:hAnsi="Arial" w:cs="Arial"/>
          <w:color w:val="000000"/>
        </w:rPr>
      </w:pPr>
    </w:p>
    <w:p w:rsidR="007A5BE8" w:rsidRPr="009C44A9" w:rsidRDefault="007A5BE8" w:rsidP="00A95768">
      <w:pPr>
        <w:tabs>
          <w:tab w:val="left" w:pos="7560"/>
        </w:tabs>
        <w:ind w:right="-1368"/>
        <w:rPr>
          <w:rFonts w:ascii="Arial" w:hAnsi="Arial" w:cs="Arial"/>
          <w:color w:val="000000"/>
        </w:rPr>
      </w:pPr>
      <w:r>
        <w:rPr>
          <w:rFonts w:ascii="Arial" w:hAnsi="Arial" w:cs="Arial"/>
          <w:color w:val="000000"/>
        </w:rPr>
        <w:t>{Signer}</w:t>
      </w:r>
    </w:p>
    <w:p w:rsidR="005858E6" w:rsidRDefault="007A5BE8" w:rsidP="007A5BE8">
      <w:pPr>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7A5BE8">
      <w:headerReference w:type="even" r:id="rId9"/>
      <w:headerReference w:type="default" r:id="rId10"/>
      <w:footerReference w:type="even" r:id="rId11"/>
      <w:footerReference w:type="default" r:id="rId12"/>
      <w:headerReference w:type="first" r:id="rId13"/>
      <w:footerReference w:type="first" r:id="rId14"/>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0AD" w:rsidRDefault="009240AD">
      <w:r>
        <w:separator/>
      </w:r>
    </w:p>
  </w:endnote>
  <w:endnote w:type="continuationSeparator" w:id="0">
    <w:p w:rsidR="009240AD" w:rsidRDefault="0092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1077E">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1077E">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D1077E">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D1077E">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1077E">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1077E">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0AD" w:rsidRDefault="009240AD">
      <w:r>
        <w:separator/>
      </w:r>
    </w:p>
  </w:footnote>
  <w:footnote w:type="continuationSeparator" w:id="0">
    <w:p w:rsidR="009240AD" w:rsidRDefault="00924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9240AD">
      <w:rPr>
        <w:noProof/>
      </w:rPr>
      <w:pict>
        <v:shapetype id="_x0000_t202" coordsize="21600,21600" o:spt="202" path="m,l,21600r21600,l21600,xe">
          <v:stroke joinstyle="miter"/>
          <v:path gradientshapeok="t" o:connecttype="rect"/>
        </v:shapetype>
        <v:shape 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3" o:spid="_x0000_s210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240AD">
      <w:rPr>
        <w:noProof/>
      </w:rPr>
      <w:pict>
        <v:shape id="Grafik 34" o:spid="_x0000_s210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BD07B6">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240AD">
      <w:rPr>
        <w:noProof/>
      </w:rPr>
      <w:pict>
        <v:shape id="Grafik 71" o:spid="_x0000_s210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8E63A1" w:rsidRPr="003E20A1" w:rsidRDefault="003E20A1" w:rsidP="00D1077E">
    <w:pPr>
      <w:spacing w:line="360" w:lineRule="auto"/>
    </w:pPr>
    <w:r>
      <w:rPr>
        <w:sz w:val="22"/>
        <w:szCs w:val="22"/>
      </w:rPr>
      <w:t>Leitung: Prof. Dr. M. Frosch, Prof. Dr. U. Vogel</w:t>
    </w: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9240AD">
      <w:rPr>
        <w:noProof/>
      </w:rPr>
      <w:pict>
        <v:shapetype id="_x0000_t202" coordsize="21600,21600" o:spt="202" path="m,l,21600r21600,l21600,xe">
          <v:stroke joinstyle="miter"/>
          <v:path gradientshapeok="t" o:connecttype="rect"/>
        </v:shapetype>
        <v:shape id="Textfeld 3" o:spid="_x0000_s2091"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9240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97"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240AD">
      <w:rPr>
        <w:noProof/>
      </w:rPr>
      <w:pict>
        <v:shape id="Grafik 30" o:spid="_x0000_s2096"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2CCE"/>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4F00C-2962-4E49-B847-E061DC1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605</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27</cp:revision>
  <cp:lastPrinted>2015-05-19T09:27:00Z</cp:lastPrinted>
  <dcterms:created xsi:type="dcterms:W3CDTF">2015-05-19T21:00:00Z</dcterms:created>
  <dcterms:modified xsi:type="dcterms:W3CDTF">2016-02-03T21:17:00Z</dcterms:modified>
</cp:coreProperties>
</file>