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E21" w:rsidRPr="00D53E21" w:rsidRDefault="00D53E21" w:rsidP="00D53E21">
      <w:pPr>
        <w:ind w:left="-567" w:right="-613"/>
        <w:jc w:val="both"/>
      </w:pPr>
      <w:r w:rsidRPr="00D53E21">
        <w:t xml:space="preserve">En esta </w:t>
      </w:r>
      <w:proofErr w:type="spellStart"/>
      <w:r w:rsidRPr="00D53E21">
        <w:t>actividad</w:t>
      </w:r>
      <w:proofErr w:type="spellEnd"/>
      <w:r w:rsidRPr="00D53E21">
        <w:t xml:space="preserve"> vamos a analizar que acciones podemos realizar para </w:t>
      </w:r>
      <w:proofErr w:type="spellStart"/>
      <w:r w:rsidRPr="00D53E21">
        <w:t>contribuir</w:t>
      </w:r>
      <w:proofErr w:type="spellEnd"/>
      <w:r w:rsidRPr="00D53E21">
        <w:t xml:space="preserve"> positivamente </w:t>
      </w:r>
      <w:proofErr w:type="spellStart"/>
      <w:r w:rsidRPr="00D53E21">
        <w:t>al</w:t>
      </w:r>
      <w:proofErr w:type="spellEnd"/>
      <w:r w:rsidRPr="00D53E21">
        <w:t xml:space="preserve"> logro de los ODS.</w:t>
      </w:r>
    </w:p>
    <w:p w:rsidR="00D53E21" w:rsidRPr="00D53E21" w:rsidRDefault="00D53E21" w:rsidP="00D53E21">
      <w:pPr>
        <w:ind w:left="-284"/>
        <w:jc w:val="both"/>
      </w:pPr>
      <w:r w:rsidRPr="00D53E21">
        <w:t>A) Contribución de los estudios de FP a los ODS (documento de metas: metas-ods.pdf).</w:t>
      </w:r>
    </w:p>
    <w:p w:rsidR="00D53E21" w:rsidRPr="00D53E21" w:rsidRDefault="00D53E21" w:rsidP="00D53E21">
      <w:pPr>
        <w:pStyle w:val="Prrafodelista"/>
        <w:numPr>
          <w:ilvl w:val="0"/>
          <w:numId w:val="4"/>
        </w:numPr>
        <w:ind w:left="567" w:right="521" w:hanging="283"/>
        <w:jc w:val="both"/>
      </w:pPr>
      <w:r w:rsidRPr="00D53E21">
        <w:t xml:space="preserve">Los estudios de FP </w:t>
      </w:r>
      <w:proofErr w:type="spellStart"/>
      <w:r w:rsidRPr="00D53E21">
        <w:t>contribuyen</w:t>
      </w:r>
      <w:proofErr w:type="spellEnd"/>
      <w:r w:rsidRPr="00D53E21">
        <w:t xml:space="preserve"> </w:t>
      </w:r>
      <w:proofErr w:type="spellStart"/>
      <w:r w:rsidRPr="00D53E21">
        <w:t>al</w:t>
      </w:r>
      <w:proofErr w:type="spellEnd"/>
      <w:r w:rsidRPr="00D53E21">
        <w:t xml:space="preserve"> logro entre </w:t>
      </w:r>
      <w:proofErr w:type="spellStart"/>
      <w:r w:rsidRPr="00D53E21">
        <w:t>otros</w:t>
      </w:r>
      <w:proofErr w:type="spellEnd"/>
      <w:r w:rsidRPr="00D53E21">
        <w:t xml:space="preserve"> de los </w:t>
      </w:r>
      <w:proofErr w:type="spellStart"/>
      <w:r w:rsidRPr="00D53E21">
        <w:t>objetivos</w:t>
      </w:r>
      <w:proofErr w:type="spellEnd"/>
      <w:r w:rsidRPr="00D53E21">
        <w:t xml:space="preserve"> 4 (Educación de </w:t>
      </w:r>
      <w:proofErr w:type="spellStart"/>
      <w:r w:rsidRPr="00D53E21">
        <w:t>calidad</w:t>
      </w:r>
      <w:proofErr w:type="spellEnd"/>
      <w:r w:rsidRPr="00D53E21">
        <w:t>), 5 (</w:t>
      </w:r>
      <w:proofErr w:type="spellStart"/>
      <w:r w:rsidRPr="00D53E21">
        <w:t>Igualdad</w:t>
      </w:r>
      <w:proofErr w:type="spellEnd"/>
      <w:r w:rsidRPr="00D53E21">
        <w:t xml:space="preserve"> de </w:t>
      </w:r>
      <w:proofErr w:type="spellStart"/>
      <w:r w:rsidRPr="00D53E21">
        <w:t>género</w:t>
      </w:r>
      <w:proofErr w:type="spellEnd"/>
      <w:r w:rsidRPr="00D53E21">
        <w:t>) y 8 (</w:t>
      </w:r>
      <w:proofErr w:type="spellStart"/>
      <w:r w:rsidRPr="00D53E21">
        <w:t>Trabajo</w:t>
      </w:r>
      <w:proofErr w:type="spellEnd"/>
      <w:r w:rsidRPr="00D53E21">
        <w:t xml:space="preserve"> decente y </w:t>
      </w:r>
      <w:proofErr w:type="spellStart"/>
      <w:r w:rsidRPr="00D53E21">
        <w:t>crecimiento</w:t>
      </w:r>
      <w:proofErr w:type="spellEnd"/>
      <w:r w:rsidRPr="00D53E21">
        <w:t xml:space="preserve"> económico). Indica con </w:t>
      </w:r>
      <w:proofErr w:type="spellStart"/>
      <w:r w:rsidRPr="00D53E21">
        <w:t>qué</w:t>
      </w:r>
      <w:proofErr w:type="spellEnd"/>
      <w:r w:rsidRPr="00D53E21">
        <w:t> metas consideras que se relaciona.</w:t>
      </w:r>
    </w:p>
    <w:p w:rsidR="00D53E21" w:rsidRPr="00D53E21" w:rsidRDefault="00D53E21" w:rsidP="00D53E21">
      <w:pPr>
        <w:ind w:left="-284"/>
        <w:jc w:val="both"/>
      </w:pPr>
      <w:r w:rsidRPr="00D53E21">
        <w:t xml:space="preserve">B) Contribución de las distintas familias </w:t>
      </w:r>
      <w:proofErr w:type="spellStart"/>
      <w:r w:rsidRPr="00D53E21">
        <w:t>profesionales</w:t>
      </w:r>
      <w:proofErr w:type="spellEnd"/>
    </w:p>
    <w:p w:rsidR="00D53E21" w:rsidRPr="00D53E21" w:rsidRDefault="00D53E21" w:rsidP="00D53E21">
      <w:pPr>
        <w:pStyle w:val="Prrafodelista"/>
        <w:numPr>
          <w:ilvl w:val="0"/>
          <w:numId w:val="4"/>
        </w:numPr>
        <w:ind w:left="567" w:right="521" w:hanging="283"/>
        <w:jc w:val="both"/>
      </w:pPr>
      <w:r w:rsidRPr="00D53E21">
        <w:t xml:space="preserve">Como vimos en actividades anteriores, los ODS </w:t>
      </w:r>
      <w:proofErr w:type="spellStart"/>
      <w:r w:rsidRPr="00D53E21">
        <w:t>pueden</w:t>
      </w:r>
      <w:proofErr w:type="spellEnd"/>
      <w:r w:rsidRPr="00D53E21">
        <w:t xml:space="preserve"> relacionarse de </w:t>
      </w:r>
      <w:proofErr w:type="spellStart"/>
      <w:r w:rsidRPr="00D53E21">
        <w:t>manera</w:t>
      </w:r>
      <w:proofErr w:type="spellEnd"/>
      <w:r w:rsidRPr="00D53E21">
        <w:t xml:space="preserve"> directa o indirecta con cada una de las familias </w:t>
      </w:r>
      <w:proofErr w:type="spellStart"/>
      <w:r w:rsidRPr="00D53E21">
        <w:t>profesionales</w:t>
      </w:r>
      <w:proofErr w:type="spellEnd"/>
      <w:r w:rsidRPr="00D53E21">
        <w:t xml:space="preserve">. En el caso de la familia de Informática y </w:t>
      </w:r>
      <w:proofErr w:type="spellStart"/>
      <w:r w:rsidRPr="00D53E21">
        <w:t>comunicaciones</w:t>
      </w:r>
      <w:proofErr w:type="spellEnd"/>
      <w:r w:rsidRPr="00D53E21">
        <w:t xml:space="preserve"> </w:t>
      </w:r>
      <w:proofErr w:type="spellStart"/>
      <w:r w:rsidRPr="00D53E21">
        <w:t>hay</w:t>
      </w:r>
      <w:proofErr w:type="spellEnd"/>
      <w:r w:rsidRPr="00D53E21">
        <w:t xml:space="preserve"> una relación directa con el ODS 9 Industria, Innovación e </w:t>
      </w:r>
      <w:proofErr w:type="spellStart"/>
      <w:r w:rsidRPr="00D53E21">
        <w:t>infraestructura</w:t>
      </w:r>
      <w:proofErr w:type="spellEnd"/>
      <w:r w:rsidRPr="00D53E21">
        <w:t xml:space="preserve">. Indica con </w:t>
      </w:r>
      <w:proofErr w:type="spellStart"/>
      <w:r w:rsidRPr="00D53E21">
        <w:t>qué</w:t>
      </w:r>
      <w:proofErr w:type="spellEnd"/>
      <w:r w:rsidRPr="00D53E21">
        <w:t> metas se relaciona.</w:t>
      </w:r>
    </w:p>
    <w:p w:rsidR="00D53E21" w:rsidRPr="00D53E21" w:rsidRDefault="00D53E21" w:rsidP="00D53E21">
      <w:pPr>
        <w:ind w:left="-567" w:right="-613"/>
        <w:jc w:val="both"/>
      </w:pPr>
      <w:r w:rsidRPr="00D53E21">
        <w:t xml:space="preserve">El reporte empresarial de </w:t>
      </w:r>
      <w:proofErr w:type="spellStart"/>
      <w:r w:rsidRPr="00D53E21">
        <w:t>sostenibilidad</w:t>
      </w:r>
      <w:proofErr w:type="spellEnd"/>
      <w:r w:rsidRPr="00D53E21">
        <w:t xml:space="preserve"> del año 2022 publicado por La </w:t>
      </w:r>
      <w:proofErr w:type="spellStart"/>
      <w:r w:rsidRPr="00D53E21">
        <w:t>Red</w:t>
      </w:r>
      <w:proofErr w:type="spellEnd"/>
      <w:r w:rsidRPr="00D53E21">
        <w:t xml:space="preserve"> Española del Pacto Mundial de </w:t>
      </w:r>
      <w:proofErr w:type="spellStart"/>
      <w:r w:rsidRPr="00D53E21">
        <w:t>Naciones</w:t>
      </w:r>
      <w:proofErr w:type="spellEnd"/>
      <w:r w:rsidRPr="00D53E21">
        <w:t xml:space="preserve"> Unidas aporta una serie de datos de medidas </w:t>
      </w:r>
      <w:proofErr w:type="spellStart"/>
      <w:r w:rsidRPr="00D53E21">
        <w:t>implementadas</w:t>
      </w:r>
      <w:proofErr w:type="spellEnd"/>
      <w:r w:rsidRPr="00D53E21">
        <w:t xml:space="preserve"> por las empresas españolas en </w:t>
      </w:r>
      <w:proofErr w:type="spellStart"/>
      <w:r w:rsidRPr="00D53E21">
        <w:t>Igualdad</w:t>
      </w:r>
      <w:proofErr w:type="spellEnd"/>
      <w:r w:rsidRPr="00D53E21">
        <w:t xml:space="preserve"> de </w:t>
      </w:r>
      <w:proofErr w:type="spellStart"/>
      <w:r w:rsidRPr="00D53E21">
        <w:t>Género</w:t>
      </w:r>
      <w:proofErr w:type="spellEnd"/>
      <w:r w:rsidRPr="00D53E21">
        <w:t xml:space="preserve">. </w:t>
      </w:r>
      <w:proofErr w:type="spellStart"/>
      <w:r w:rsidRPr="00D53E21">
        <w:t>Según</w:t>
      </w:r>
      <w:proofErr w:type="spellEnd"/>
      <w:r w:rsidRPr="00D53E21">
        <w:t xml:space="preserve"> </w:t>
      </w:r>
      <w:proofErr w:type="spellStart"/>
      <w:r w:rsidRPr="00D53E21">
        <w:t>estos</w:t>
      </w:r>
      <w:proofErr w:type="spellEnd"/>
      <w:r w:rsidRPr="00D53E21">
        <w:t xml:space="preserve"> datos (Pacto Mundial de </w:t>
      </w:r>
      <w:proofErr w:type="spellStart"/>
      <w:r w:rsidRPr="00D53E21">
        <w:t>Naciones</w:t>
      </w:r>
      <w:proofErr w:type="spellEnd"/>
      <w:r w:rsidRPr="00D53E21">
        <w:t xml:space="preserve"> Unidas.pdf): </w:t>
      </w:r>
    </w:p>
    <w:p w:rsidR="00D53E21" w:rsidRPr="00D53E21" w:rsidRDefault="00D53E21" w:rsidP="00D53E21">
      <w:pPr>
        <w:pStyle w:val="Prrafodelista"/>
        <w:numPr>
          <w:ilvl w:val="0"/>
          <w:numId w:val="4"/>
        </w:numPr>
        <w:ind w:left="567" w:hanging="283"/>
        <w:jc w:val="both"/>
      </w:pPr>
      <w:proofErr w:type="spellStart"/>
      <w:r w:rsidRPr="00D53E21">
        <w:t>Fíjate</w:t>
      </w:r>
      <w:proofErr w:type="spellEnd"/>
      <w:r w:rsidRPr="00D53E21">
        <w:t xml:space="preserve"> en los datos de </w:t>
      </w:r>
      <w:proofErr w:type="spellStart"/>
      <w:r w:rsidRPr="00D53E21">
        <w:t>Igualdad</w:t>
      </w:r>
      <w:proofErr w:type="spellEnd"/>
      <w:r w:rsidRPr="00D53E21">
        <w:t xml:space="preserve"> de </w:t>
      </w:r>
      <w:proofErr w:type="spellStart"/>
      <w:r w:rsidRPr="00D53E21">
        <w:t>Género</w:t>
      </w:r>
      <w:proofErr w:type="spellEnd"/>
      <w:r w:rsidRPr="00D53E21">
        <w:t xml:space="preserve"> de las grandes empresas.</w:t>
      </w:r>
    </w:p>
    <w:p w:rsidR="00D53E21" w:rsidRPr="00D53E21" w:rsidRDefault="00D53E21" w:rsidP="00D53E21">
      <w:pPr>
        <w:pStyle w:val="Prrafodelista"/>
        <w:numPr>
          <w:ilvl w:val="0"/>
          <w:numId w:val="4"/>
        </w:numPr>
        <w:ind w:left="567" w:right="521" w:hanging="283"/>
        <w:jc w:val="both"/>
      </w:pPr>
      <w:proofErr w:type="spellStart"/>
      <w:r w:rsidRPr="00D53E21">
        <w:t>Ahora</w:t>
      </w:r>
      <w:proofErr w:type="spellEnd"/>
      <w:r w:rsidRPr="00D53E21">
        <w:t xml:space="preserve"> analiza los datos de </w:t>
      </w:r>
      <w:proofErr w:type="spellStart"/>
      <w:r w:rsidRPr="00D53E21">
        <w:t>Igualdad</w:t>
      </w:r>
      <w:proofErr w:type="spellEnd"/>
      <w:r w:rsidRPr="00D53E21">
        <w:t xml:space="preserve"> de </w:t>
      </w:r>
      <w:proofErr w:type="spellStart"/>
      <w:r w:rsidRPr="00D53E21">
        <w:t>Género</w:t>
      </w:r>
      <w:proofErr w:type="spellEnd"/>
      <w:r w:rsidRPr="00D53E21">
        <w:t xml:space="preserve"> de las </w:t>
      </w:r>
      <w:proofErr w:type="spellStart"/>
      <w:r w:rsidRPr="00D53E21">
        <w:t>Pymes</w:t>
      </w:r>
      <w:proofErr w:type="spellEnd"/>
      <w:r w:rsidRPr="00D53E21">
        <w:t>.</w:t>
      </w:r>
    </w:p>
    <w:p w:rsidR="00D53E21" w:rsidRPr="00D53E21" w:rsidRDefault="00D53E21" w:rsidP="00D53E21">
      <w:pPr>
        <w:pStyle w:val="Prrafodelista"/>
        <w:numPr>
          <w:ilvl w:val="0"/>
          <w:numId w:val="4"/>
        </w:numPr>
        <w:ind w:left="567" w:right="521" w:hanging="283"/>
        <w:jc w:val="both"/>
      </w:pPr>
      <w:proofErr w:type="spellStart"/>
      <w:r w:rsidRPr="00D53E21">
        <w:t>Teniendo</w:t>
      </w:r>
      <w:proofErr w:type="spellEnd"/>
      <w:r w:rsidRPr="00D53E21">
        <w:t xml:space="preserve"> en </w:t>
      </w:r>
      <w:proofErr w:type="spellStart"/>
      <w:r w:rsidRPr="00D53E21">
        <w:t>cuenta</w:t>
      </w:r>
      <w:proofErr w:type="spellEnd"/>
      <w:r w:rsidRPr="00D53E21">
        <w:t xml:space="preserve"> el </w:t>
      </w:r>
      <w:proofErr w:type="spellStart"/>
      <w:r w:rsidRPr="00D53E21">
        <w:t>porcentaje</w:t>
      </w:r>
      <w:proofErr w:type="spellEnd"/>
      <w:r w:rsidRPr="00D53E21">
        <w:t xml:space="preserve"> de </w:t>
      </w:r>
      <w:proofErr w:type="spellStart"/>
      <w:r w:rsidRPr="00D53E21">
        <w:t>Pymes</w:t>
      </w:r>
      <w:proofErr w:type="spellEnd"/>
      <w:r w:rsidRPr="00D53E21">
        <w:t xml:space="preserve"> que </w:t>
      </w:r>
      <w:proofErr w:type="spellStart"/>
      <w:r w:rsidRPr="00D53E21">
        <w:t>hay</w:t>
      </w:r>
      <w:proofErr w:type="spellEnd"/>
      <w:r w:rsidRPr="00D53E21">
        <w:t xml:space="preserve"> en España (</w:t>
      </w:r>
      <w:proofErr w:type="spellStart"/>
      <w:r w:rsidRPr="00D53E21">
        <w:t>puedes</w:t>
      </w:r>
      <w:proofErr w:type="spellEnd"/>
      <w:r w:rsidRPr="00D53E21">
        <w:t xml:space="preserve"> consultar CifrasPyme-diciembre2024.pdf) y el número de </w:t>
      </w:r>
      <w:proofErr w:type="spellStart"/>
      <w:r w:rsidRPr="00D53E21">
        <w:t>trabajadores</w:t>
      </w:r>
      <w:proofErr w:type="spellEnd"/>
      <w:r w:rsidRPr="00D53E21">
        <w:t xml:space="preserve"> que </w:t>
      </w:r>
      <w:proofErr w:type="spellStart"/>
      <w:r w:rsidRPr="00D53E21">
        <w:t>tienen</w:t>
      </w:r>
      <w:proofErr w:type="spellEnd"/>
      <w:r w:rsidRPr="00D53E21">
        <w:t>. ¿</w:t>
      </w:r>
      <w:proofErr w:type="spellStart"/>
      <w:r w:rsidRPr="00D53E21">
        <w:t>Cómo</w:t>
      </w:r>
      <w:proofErr w:type="spellEnd"/>
      <w:r w:rsidRPr="00D53E21">
        <w:t xml:space="preserve"> valoras las medidas </w:t>
      </w:r>
      <w:proofErr w:type="spellStart"/>
      <w:r w:rsidRPr="00D53E21">
        <w:t>implementadas</w:t>
      </w:r>
      <w:proofErr w:type="spellEnd"/>
      <w:r w:rsidRPr="00D53E21">
        <w:t xml:space="preserve"> en las empresas españolas? ¿Son suficientes?</w:t>
      </w:r>
    </w:p>
    <w:p w:rsidR="00D53E21" w:rsidRPr="00D53E21" w:rsidRDefault="00D53E21" w:rsidP="00D53E21">
      <w:pPr>
        <w:ind w:left="-567" w:right="-613"/>
        <w:jc w:val="both"/>
      </w:pPr>
      <w:r w:rsidRPr="00D53E21">
        <w:t xml:space="preserve">El principio nº10 del Pacto Mundial de la ONU </w:t>
      </w:r>
      <w:proofErr w:type="spellStart"/>
      <w:r w:rsidRPr="00D53E21">
        <w:t>señala</w:t>
      </w:r>
      <w:proofErr w:type="spellEnd"/>
      <w:r w:rsidRPr="00D53E21">
        <w:t xml:space="preserve">: "Las empresas deben </w:t>
      </w:r>
      <w:proofErr w:type="spellStart"/>
      <w:r w:rsidRPr="00D53E21">
        <w:t>trabajar</w:t>
      </w:r>
      <w:proofErr w:type="spellEnd"/>
      <w:r w:rsidRPr="00D53E21">
        <w:t xml:space="preserve"> contra la corrupción en todas </w:t>
      </w:r>
      <w:proofErr w:type="spellStart"/>
      <w:r w:rsidRPr="00D53E21">
        <w:t>sus</w:t>
      </w:r>
      <w:proofErr w:type="spellEnd"/>
      <w:r w:rsidRPr="00D53E21">
        <w:t xml:space="preserve"> formas, </w:t>
      </w:r>
      <w:proofErr w:type="spellStart"/>
      <w:r w:rsidRPr="00D53E21">
        <w:t>incluidas</w:t>
      </w:r>
      <w:proofErr w:type="spellEnd"/>
      <w:r w:rsidRPr="00D53E21">
        <w:t xml:space="preserve"> extorsión y </w:t>
      </w:r>
      <w:proofErr w:type="spellStart"/>
      <w:r w:rsidRPr="00D53E21">
        <w:t>soborno</w:t>
      </w:r>
      <w:proofErr w:type="spellEnd"/>
      <w:r w:rsidRPr="00D53E21">
        <w:t>". </w:t>
      </w:r>
    </w:p>
    <w:p w:rsidR="00D53E21" w:rsidRPr="00D53E21" w:rsidRDefault="00D53E21" w:rsidP="00D53E21">
      <w:pPr>
        <w:ind w:left="-567" w:right="-613"/>
        <w:jc w:val="both"/>
      </w:pPr>
      <w:r w:rsidRPr="00D53E21">
        <w:t xml:space="preserve">Analiza la información publicada por el Pacto Mundial "La transparencia </w:t>
      </w:r>
      <w:proofErr w:type="spellStart"/>
      <w:r w:rsidRPr="00D53E21">
        <w:t>también</w:t>
      </w:r>
      <w:proofErr w:type="spellEnd"/>
      <w:r w:rsidRPr="00D53E21">
        <w:t xml:space="preserve"> es cosa de </w:t>
      </w:r>
      <w:proofErr w:type="spellStart"/>
      <w:r w:rsidRPr="00D53E21">
        <w:t>pymes</w:t>
      </w:r>
      <w:proofErr w:type="spellEnd"/>
      <w:r w:rsidRPr="00D53E21">
        <w:t xml:space="preserve">" </w:t>
      </w:r>
      <w:proofErr w:type="spellStart"/>
      <w:r w:rsidRPr="00D53E21">
        <w:t>donde</w:t>
      </w:r>
      <w:proofErr w:type="spellEnd"/>
      <w:r w:rsidRPr="00D53E21">
        <w:t xml:space="preserve"> se aportan los </w:t>
      </w:r>
      <w:proofErr w:type="spellStart"/>
      <w:r w:rsidRPr="00D53E21">
        <w:t>siguientes</w:t>
      </w:r>
      <w:proofErr w:type="spellEnd"/>
      <w:r w:rsidRPr="00D53E21">
        <w:t xml:space="preserve"> datos:</w:t>
      </w:r>
      <w:r w:rsidR="00784341">
        <w:t xml:space="preserve"> </w:t>
      </w:r>
    </w:p>
    <w:p w:rsidR="00D53E21" w:rsidRDefault="00D53E21">
      <w:r w:rsidRPr="00D53E21">
        <w:rPr>
          <w:b/>
        </w:rPr>
        <w:drawing>
          <wp:anchor distT="0" distB="0" distL="114300" distR="114300" simplePos="0" relativeHeight="251658240" behindDoc="0" locked="0" layoutInCell="1" allowOverlap="1" wp14:anchorId="0D2EF68F" wp14:editId="5DB57D7A">
            <wp:simplePos x="0" y="0"/>
            <wp:positionH relativeFrom="margin">
              <wp:posOffset>338455</wp:posOffset>
            </wp:positionH>
            <wp:positionV relativeFrom="margin">
              <wp:posOffset>6344920</wp:posOffset>
            </wp:positionV>
            <wp:extent cx="5687060" cy="1562100"/>
            <wp:effectExtent l="171450" t="171450" r="389890" b="3619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br w:type="page"/>
      </w:r>
    </w:p>
    <w:p w:rsidR="00951051" w:rsidRPr="00D53E21" w:rsidRDefault="00D53E21" w:rsidP="00D53E21">
      <w:pPr>
        <w:pStyle w:val="Prrafodelista"/>
        <w:numPr>
          <w:ilvl w:val="0"/>
          <w:numId w:val="5"/>
        </w:numPr>
        <w:ind w:left="0"/>
        <w:jc w:val="both"/>
        <w:rPr>
          <w:b/>
        </w:rPr>
      </w:pPr>
      <w:r w:rsidRPr="00D53E21">
        <w:rPr>
          <w:b/>
        </w:rPr>
        <w:lastRenderedPageBreak/>
        <w:t>Contribución de los estudios de FP a los ODS</w:t>
      </w:r>
    </w:p>
    <w:p w:rsidR="00D53E21" w:rsidRDefault="00D53E21" w:rsidP="00D53E21">
      <w:pPr>
        <w:jc w:val="both"/>
      </w:pPr>
      <w:r>
        <w:t xml:space="preserve">Los estudios de FP están directamente relacionados con los </w:t>
      </w:r>
      <w:proofErr w:type="spellStart"/>
      <w:r>
        <w:t>siguientes</w:t>
      </w:r>
      <w:proofErr w:type="spellEnd"/>
      <w:r>
        <w:t xml:space="preserve"> ODS:</w:t>
      </w:r>
    </w:p>
    <w:p w:rsidR="00D53E21" w:rsidRDefault="00D53E21" w:rsidP="00D53E21">
      <w:pPr>
        <w:jc w:val="both"/>
      </w:pPr>
      <w:r w:rsidRPr="00784341">
        <w:rPr>
          <w:b/>
        </w:rPr>
        <w:t>· ODS</w:t>
      </w:r>
      <w:r w:rsidRPr="00D53E21">
        <w:rPr>
          <w:b/>
        </w:rPr>
        <w:t xml:space="preserve"> 4</w:t>
      </w:r>
      <w:r>
        <w:t xml:space="preserve"> – Educación de </w:t>
      </w:r>
      <w:proofErr w:type="spellStart"/>
      <w:r>
        <w:t>calidad</w:t>
      </w:r>
      <w:proofErr w:type="spellEnd"/>
      <w:r>
        <w:t>:</w:t>
      </w:r>
    </w:p>
    <w:p w:rsidR="00D53E21" w:rsidRDefault="00D53E21" w:rsidP="00D53E21">
      <w:pPr>
        <w:ind w:left="284"/>
        <w:jc w:val="both"/>
      </w:pPr>
      <w:r>
        <w:t>- Asegurar el acceso igualitario a la formación superior</w:t>
      </w:r>
    </w:p>
    <w:p w:rsidR="00D53E21" w:rsidRDefault="00D53E21" w:rsidP="00D53E21">
      <w:pPr>
        <w:ind w:left="284"/>
        <w:jc w:val="both"/>
      </w:pPr>
      <w:r>
        <w:t xml:space="preserve">- Aumento de las competencias para acceder </w:t>
      </w:r>
      <w:proofErr w:type="spellStart"/>
      <w:r>
        <w:t>al</w:t>
      </w:r>
      <w:proofErr w:type="spellEnd"/>
      <w:r>
        <w:t xml:space="preserve"> </w:t>
      </w:r>
      <w:proofErr w:type="spellStart"/>
      <w:r>
        <w:t>empleo</w:t>
      </w:r>
      <w:proofErr w:type="spellEnd"/>
    </w:p>
    <w:p w:rsidR="00D53E21" w:rsidRDefault="00D53E21" w:rsidP="00D53E21">
      <w:pPr>
        <w:ind w:left="284"/>
        <w:jc w:val="both"/>
      </w:pPr>
      <w:r>
        <w:t xml:space="preserve">- Eliminación de </w:t>
      </w:r>
      <w:proofErr w:type="spellStart"/>
      <w:r>
        <w:t>disparidad</w:t>
      </w:r>
      <w:proofErr w:type="spellEnd"/>
      <w:r>
        <w:t xml:space="preserve"> de </w:t>
      </w:r>
      <w:proofErr w:type="spellStart"/>
      <w:r>
        <w:t>género</w:t>
      </w:r>
      <w:proofErr w:type="spellEnd"/>
      <w:r>
        <w:t xml:space="preserve"> y </w:t>
      </w:r>
      <w:proofErr w:type="spellStart"/>
      <w:r>
        <w:t>apoyo</w:t>
      </w:r>
      <w:proofErr w:type="spellEnd"/>
      <w:r>
        <w:t xml:space="preserve"> a colectivos vulnerables en educación</w:t>
      </w:r>
    </w:p>
    <w:p w:rsidR="00D53E21" w:rsidRDefault="00D53E21" w:rsidP="00784341">
      <w:pPr>
        <w:ind w:left="284"/>
        <w:jc w:val="both"/>
      </w:pPr>
      <w:r>
        <w:t xml:space="preserve">- </w:t>
      </w:r>
      <w:proofErr w:type="spellStart"/>
      <w:r>
        <w:t>Mejorar</w:t>
      </w:r>
      <w:proofErr w:type="spellEnd"/>
      <w:r>
        <w:t xml:space="preserve"> la cualificación de los docentes</w:t>
      </w:r>
    </w:p>
    <w:p w:rsidR="00784341" w:rsidRPr="00784341" w:rsidRDefault="00784341" w:rsidP="00784341">
      <w:pPr>
        <w:ind w:left="284"/>
        <w:jc w:val="both"/>
        <w:rPr>
          <w:sz w:val="2"/>
        </w:rPr>
      </w:pPr>
    </w:p>
    <w:p w:rsidR="00D53E21" w:rsidRDefault="00D53E21" w:rsidP="00D53E21">
      <w:pPr>
        <w:jc w:val="both"/>
      </w:pPr>
      <w:r w:rsidRPr="00784341">
        <w:rPr>
          <w:b/>
        </w:rPr>
        <w:t>· ODS</w:t>
      </w:r>
      <w:r w:rsidRPr="00D53E21">
        <w:rPr>
          <w:b/>
        </w:rPr>
        <w:t xml:space="preserve"> </w:t>
      </w:r>
      <w:r>
        <w:rPr>
          <w:b/>
        </w:rPr>
        <w:t>5</w:t>
      </w:r>
      <w:r>
        <w:t xml:space="preserve"> – </w:t>
      </w:r>
      <w:proofErr w:type="spellStart"/>
      <w:r>
        <w:t>Igualdad</w:t>
      </w:r>
      <w:proofErr w:type="spellEnd"/>
      <w:r>
        <w:t xml:space="preserve"> de </w:t>
      </w:r>
      <w:proofErr w:type="spellStart"/>
      <w:r>
        <w:t>género</w:t>
      </w:r>
      <w:proofErr w:type="spellEnd"/>
      <w:r>
        <w:t>:</w:t>
      </w:r>
    </w:p>
    <w:p w:rsidR="00D53E21" w:rsidRDefault="00D53E21" w:rsidP="00D53E21">
      <w:pPr>
        <w:ind w:left="284"/>
        <w:jc w:val="both"/>
      </w:pPr>
      <w:r>
        <w:t xml:space="preserve">- </w:t>
      </w:r>
      <w:proofErr w:type="spellStart"/>
      <w:r>
        <w:t>Poner</w:t>
      </w:r>
      <w:proofErr w:type="spellEnd"/>
      <w:r>
        <w:t xml:space="preserve"> fin a la discriminación de </w:t>
      </w:r>
      <w:proofErr w:type="spellStart"/>
      <w:r>
        <w:t>género</w:t>
      </w:r>
      <w:proofErr w:type="spellEnd"/>
      <w:r>
        <w:t>.</w:t>
      </w:r>
    </w:p>
    <w:p w:rsidR="00D53E21" w:rsidRDefault="00D53E21" w:rsidP="00D53E21">
      <w:pPr>
        <w:ind w:left="284"/>
        <w:jc w:val="both"/>
      </w:pPr>
      <w:r>
        <w:t xml:space="preserve">- Asegurar la participación plena de la </w:t>
      </w:r>
      <w:proofErr w:type="spellStart"/>
      <w:r>
        <w:t>mujer</w:t>
      </w:r>
      <w:proofErr w:type="spellEnd"/>
      <w:r>
        <w:t xml:space="preserve"> e </w:t>
      </w:r>
      <w:proofErr w:type="spellStart"/>
      <w:r>
        <w:t>igualdad</w:t>
      </w:r>
      <w:proofErr w:type="spellEnd"/>
      <w:r>
        <w:t xml:space="preserve"> de oportunidades</w:t>
      </w:r>
    </w:p>
    <w:p w:rsidR="00D53E21" w:rsidRDefault="00D53E21" w:rsidP="00784341">
      <w:pPr>
        <w:ind w:left="284"/>
        <w:jc w:val="both"/>
      </w:pPr>
      <w:r>
        <w:t xml:space="preserve">- Promover el uso de la </w:t>
      </w:r>
      <w:proofErr w:type="spellStart"/>
      <w:r>
        <w:t>tecnología</w:t>
      </w:r>
      <w:proofErr w:type="spellEnd"/>
      <w:r>
        <w:t xml:space="preserve"> y TIC para el </w:t>
      </w:r>
      <w:proofErr w:type="spellStart"/>
      <w:r>
        <w:t>empoderamiento</w:t>
      </w:r>
      <w:proofErr w:type="spellEnd"/>
      <w:r>
        <w:t xml:space="preserve"> de las </w:t>
      </w:r>
      <w:proofErr w:type="spellStart"/>
      <w:r>
        <w:t>mujeres</w:t>
      </w:r>
      <w:proofErr w:type="spellEnd"/>
    </w:p>
    <w:p w:rsidR="00784341" w:rsidRPr="00784341" w:rsidRDefault="00784341" w:rsidP="00784341">
      <w:pPr>
        <w:ind w:left="284"/>
        <w:jc w:val="both"/>
        <w:rPr>
          <w:sz w:val="2"/>
        </w:rPr>
      </w:pPr>
    </w:p>
    <w:p w:rsidR="00D53E21" w:rsidRDefault="00D53E21" w:rsidP="00D53E21">
      <w:pPr>
        <w:jc w:val="both"/>
      </w:pPr>
      <w:r w:rsidRPr="00784341">
        <w:rPr>
          <w:b/>
        </w:rPr>
        <w:t>· ODS</w:t>
      </w:r>
      <w:r w:rsidRPr="00D53E21">
        <w:rPr>
          <w:b/>
        </w:rPr>
        <w:t xml:space="preserve"> </w:t>
      </w:r>
      <w:r>
        <w:rPr>
          <w:b/>
        </w:rPr>
        <w:t>8</w:t>
      </w:r>
      <w:r>
        <w:t xml:space="preserve"> – </w:t>
      </w:r>
      <w:proofErr w:type="spellStart"/>
      <w:r>
        <w:t>Trabajo</w:t>
      </w:r>
      <w:proofErr w:type="spellEnd"/>
      <w:r>
        <w:t xml:space="preserve"> decente y </w:t>
      </w:r>
      <w:proofErr w:type="spellStart"/>
      <w:r>
        <w:t>crecimiento</w:t>
      </w:r>
      <w:proofErr w:type="spellEnd"/>
      <w:r>
        <w:t xml:space="preserve"> económico</w:t>
      </w:r>
      <w:r>
        <w:t>:</w:t>
      </w:r>
    </w:p>
    <w:p w:rsidR="00D53E21" w:rsidRDefault="00D53E21" w:rsidP="00D53E21">
      <w:pPr>
        <w:ind w:left="284"/>
        <w:jc w:val="both"/>
      </w:pPr>
      <w:r>
        <w:t xml:space="preserve">- Promoción de políticas orientadas </w:t>
      </w:r>
      <w:proofErr w:type="spellStart"/>
      <w:r>
        <w:t>al</w:t>
      </w:r>
      <w:proofErr w:type="spellEnd"/>
      <w:r>
        <w:t xml:space="preserve"> </w:t>
      </w:r>
      <w:proofErr w:type="spellStart"/>
      <w:r>
        <w:t>emprendimiento</w:t>
      </w:r>
      <w:proofErr w:type="spellEnd"/>
      <w:r>
        <w:t xml:space="preserve"> y la creación de </w:t>
      </w:r>
      <w:proofErr w:type="spellStart"/>
      <w:r>
        <w:t>empleo</w:t>
      </w:r>
      <w:proofErr w:type="spellEnd"/>
    </w:p>
    <w:p w:rsidR="00D53E21" w:rsidRDefault="00D53E21" w:rsidP="00D53E21">
      <w:pPr>
        <w:ind w:left="284"/>
        <w:jc w:val="both"/>
      </w:pPr>
      <w:r>
        <w:t xml:space="preserve">- Lograr pleno </w:t>
      </w:r>
      <w:proofErr w:type="spellStart"/>
      <w:r>
        <w:t>empleo</w:t>
      </w:r>
      <w:proofErr w:type="spellEnd"/>
      <w:r>
        <w:t xml:space="preserve"> y </w:t>
      </w:r>
      <w:proofErr w:type="spellStart"/>
      <w:r>
        <w:t>trabajo</w:t>
      </w:r>
      <w:proofErr w:type="spellEnd"/>
      <w:r>
        <w:t xml:space="preserve"> decente con </w:t>
      </w:r>
      <w:proofErr w:type="spellStart"/>
      <w:r>
        <w:t>igualdad</w:t>
      </w:r>
      <w:proofErr w:type="spellEnd"/>
      <w:r>
        <w:t xml:space="preserve"> salarial</w:t>
      </w:r>
    </w:p>
    <w:p w:rsidR="00D53E21" w:rsidRDefault="00D53E21" w:rsidP="00D53E21">
      <w:pPr>
        <w:ind w:left="284"/>
        <w:jc w:val="both"/>
      </w:pPr>
      <w:r>
        <w:t xml:space="preserve">- </w:t>
      </w:r>
      <w:proofErr w:type="spellStart"/>
      <w:r>
        <w:t>Reducción</w:t>
      </w:r>
      <w:proofErr w:type="spellEnd"/>
      <w:r>
        <w:t xml:space="preserve"> del número de </w:t>
      </w:r>
      <w:proofErr w:type="spellStart"/>
      <w:r>
        <w:t>jóvenes</w:t>
      </w:r>
      <w:proofErr w:type="spellEnd"/>
      <w:r>
        <w:t xml:space="preserve"> </w:t>
      </w:r>
      <w:proofErr w:type="spellStart"/>
      <w:r>
        <w:t>sin</w:t>
      </w:r>
      <w:proofErr w:type="spellEnd"/>
      <w:r>
        <w:t xml:space="preserve"> </w:t>
      </w:r>
      <w:proofErr w:type="spellStart"/>
      <w:r>
        <w:t>empleo</w:t>
      </w:r>
      <w:proofErr w:type="spellEnd"/>
      <w:r>
        <w:t xml:space="preserve"> ni estudios</w:t>
      </w:r>
    </w:p>
    <w:p w:rsidR="00D53E21" w:rsidRDefault="00D53E21" w:rsidP="00D53E21">
      <w:pPr>
        <w:ind w:left="284"/>
        <w:jc w:val="both"/>
      </w:pPr>
    </w:p>
    <w:p w:rsidR="00784341" w:rsidRPr="00784341" w:rsidRDefault="00D53E21" w:rsidP="00784341">
      <w:pPr>
        <w:pStyle w:val="Prrafodelista"/>
        <w:numPr>
          <w:ilvl w:val="0"/>
          <w:numId w:val="5"/>
        </w:numPr>
        <w:ind w:left="0"/>
        <w:jc w:val="both"/>
        <w:rPr>
          <w:b/>
        </w:rPr>
      </w:pPr>
      <w:r w:rsidRPr="00D53E21">
        <w:rPr>
          <w:b/>
        </w:rPr>
        <w:t xml:space="preserve">Contribución de </w:t>
      </w:r>
      <w:r>
        <w:rPr>
          <w:b/>
        </w:rPr>
        <w:t xml:space="preserve">la familia profesional de la Informática y </w:t>
      </w:r>
      <w:proofErr w:type="spellStart"/>
      <w:r>
        <w:rPr>
          <w:b/>
        </w:rPr>
        <w:t>Comunicaciones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</w:t>
      </w:r>
      <w:proofErr w:type="spellEnd"/>
      <w:r>
        <w:rPr>
          <w:b/>
        </w:rPr>
        <w:t xml:space="preserve"> ODS 9</w:t>
      </w:r>
      <w:r w:rsidR="00784341">
        <w:rPr>
          <w:b/>
        </w:rPr>
        <w:t>:</w:t>
      </w:r>
    </w:p>
    <w:p w:rsidR="00784341" w:rsidRPr="00784341" w:rsidRDefault="00784341" w:rsidP="00784341">
      <w:pPr>
        <w:jc w:val="both"/>
      </w:pPr>
      <w:r w:rsidRPr="00784341">
        <w:t xml:space="preserve">El sector de Informática y </w:t>
      </w:r>
      <w:proofErr w:type="spellStart"/>
      <w:r w:rsidRPr="00784341">
        <w:t>Comunicaciones</w:t>
      </w:r>
      <w:proofErr w:type="spellEnd"/>
      <w:r w:rsidRPr="00784341">
        <w:t xml:space="preserve"> </w:t>
      </w:r>
      <w:proofErr w:type="spellStart"/>
      <w:r w:rsidRPr="00784341">
        <w:t>contribuye</w:t>
      </w:r>
      <w:proofErr w:type="spellEnd"/>
      <w:r w:rsidRPr="00784341">
        <w:t xml:space="preserve"> </w:t>
      </w:r>
      <w:proofErr w:type="spellStart"/>
      <w:r w:rsidRPr="00784341">
        <w:t>al</w:t>
      </w:r>
      <w:proofErr w:type="spellEnd"/>
      <w:r w:rsidRPr="00784341">
        <w:t xml:space="preserve"> ODS 9 (Industria, Innovación e </w:t>
      </w:r>
      <w:proofErr w:type="spellStart"/>
      <w:r w:rsidRPr="00784341">
        <w:t>Infraestructura</w:t>
      </w:r>
      <w:proofErr w:type="spellEnd"/>
      <w:r w:rsidRPr="00784341">
        <w:t>) a través de:</w:t>
      </w:r>
    </w:p>
    <w:p w:rsidR="00784341" w:rsidRPr="00784341" w:rsidRDefault="00784341" w:rsidP="00784341">
      <w:pPr>
        <w:ind w:left="284"/>
        <w:jc w:val="both"/>
      </w:pPr>
      <w:r>
        <w:t xml:space="preserve">- </w:t>
      </w:r>
      <w:proofErr w:type="spellStart"/>
      <w:r w:rsidRPr="00784341">
        <w:t>Desarrollo</w:t>
      </w:r>
      <w:proofErr w:type="spellEnd"/>
      <w:r w:rsidRPr="00784341">
        <w:t xml:space="preserve"> de </w:t>
      </w:r>
      <w:proofErr w:type="spellStart"/>
      <w:r w:rsidRPr="00784341">
        <w:t>infraestructuras</w:t>
      </w:r>
      <w:proofErr w:type="spellEnd"/>
      <w:r w:rsidRPr="00784341">
        <w:t xml:space="preserve"> </w:t>
      </w:r>
      <w:proofErr w:type="spellStart"/>
      <w:r w:rsidRPr="00784341">
        <w:t>sostenibles</w:t>
      </w:r>
      <w:proofErr w:type="spellEnd"/>
      <w:r w:rsidRPr="00784341">
        <w:t xml:space="preserve">, </w:t>
      </w:r>
      <w:proofErr w:type="spellStart"/>
      <w:r w:rsidRPr="00784341">
        <w:t>resilientes</w:t>
      </w:r>
      <w:proofErr w:type="spellEnd"/>
      <w:r w:rsidRPr="00784341">
        <w:t xml:space="preserve"> y de </w:t>
      </w:r>
      <w:proofErr w:type="spellStart"/>
      <w:r w:rsidRPr="00784341">
        <w:t>calidad</w:t>
      </w:r>
      <w:proofErr w:type="spellEnd"/>
      <w:r w:rsidRPr="00784341">
        <w:t>.</w:t>
      </w:r>
    </w:p>
    <w:p w:rsidR="00784341" w:rsidRPr="00784341" w:rsidRDefault="00784341" w:rsidP="00784341">
      <w:pPr>
        <w:ind w:left="284"/>
        <w:jc w:val="both"/>
      </w:pPr>
      <w:r>
        <w:t xml:space="preserve">- </w:t>
      </w:r>
      <w:r w:rsidRPr="00784341">
        <w:t xml:space="preserve">Aumento del acceso de las </w:t>
      </w:r>
      <w:proofErr w:type="spellStart"/>
      <w:r w:rsidRPr="00784341">
        <w:t>PYMEs</w:t>
      </w:r>
      <w:proofErr w:type="spellEnd"/>
      <w:r w:rsidRPr="00784341">
        <w:t xml:space="preserve"> a servicios </w:t>
      </w:r>
      <w:proofErr w:type="spellStart"/>
      <w:r w:rsidRPr="00784341">
        <w:t>financieros</w:t>
      </w:r>
      <w:proofErr w:type="spellEnd"/>
      <w:r w:rsidRPr="00784341">
        <w:t xml:space="preserve"> y a las TIC.</w:t>
      </w:r>
    </w:p>
    <w:p w:rsidR="00784341" w:rsidRPr="00784341" w:rsidRDefault="00784341" w:rsidP="00784341">
      <w:pPr>
        <w:ind w:left="284"/>
        <w:jc w:val="both"/>
      </w:pPr>
      <w:r>
        <w:t xml:space="preserve">- </w:t>
      </w:r>
      <w:r w:rsidRPr="00784341">
        <w:t xml:space="preserve">Modernización de la </w:t>
      </w:r>
      <w:proofErr w:type="spellStart"/>
      <w:r w:rsidRPr="00784341">
        <w:t>infraestructura</w:t>
      </w:r>
      <w:proofErr w:type="spellEnd"/>
      <w:r w:rsidRPr="00784341">
        <w:t xml:space="preserve"> industrial para ser </w:t>
      </w:r>
      <w:proofErr w:type="spellStart"/>
      <w:r w:rsidRPr="00784341">
        <w:t>sostenible</w:t>
      </w:r>
      <w:proofErr w:type="spellEnd"/>
      <w:r w:rsidRPr="00784341">
        <w:t>.</w:t>
      </w:r>
    </w:p>
    <w:p w:rsidR="00784341" w:rsidRPr="00784341" w:rsidRDefault="00784341" w:rsidP="00784341">
      <w:pPr>
        <w:ind w:left="284"/>
        <w:jc w:val="both"/>
      </w:pPr>
      <w:r>
        <w:t xml:space="preserve">- </w:t>
      </w:r>
      <w:proofErr w:type="spellStart"/>
      <w:r w:rsidRPr="00784341">
        <w:t>Desarrollo</w:t>
      </w:r>
      <w:proofErr w:type="spellEnd"/>
      <w:r w:rsidRPr="00784341">
        <w:t xml:space="preserve"> de </w:t>
      </w:r>
      <w:proofErr w:type="spellStart"/>
      <w:r w:rsidRPr="00784341">
        <w:t>tecnología</w:t>
      </w:r>
      <w:proofErr w:type="spellEnd"/>
      <w:r w:rsidRPr="00784341">
        <w:t>, investigación e innovación.</w:t>
      </w:r>
    </w:p>
    <w:p w:rsidR="00784341" w:rsidRPr="00784341" w:rsidRDefault="00784341" w:rsidP="00784341">
      <w:pPr>
        <w:ind w:left="284"/>
        <w:jc w:val="both"/>
      </w:pPr>
      <w:r>
        <w:t xml:space="preserve">- </w:t>
      </w:r>
      <w:r w:rsidRPr="00784341">
        <w:t>Aumento del acceso a las TIC y a Internet.</w:t>
      </w:r>
    </w:p>
    <w:p w:rsidR="00784341" w:rsidRDefault="00784341">
      <w:pPr>
        <w:rPr>
          <w:b/>
        </w:rPr>
      </w:pPr>
      <w:r>
        <w:rPr>
          <w:b/>
        </w:rPr>
        <w:br w:type="page"/>
      </w:r>
    </w:p>
    <w:p w:rsidR="00784341" w:rsidRDefault="00784341" w:rsidP="00784341">
      <w:pPr>
        <w:pStyle w:val="Prrafodelista"/>
        <w:numPr>
          <w:ilvl w:val="0"/>
          <w:numId w:val="5"/>
        </w:numPr>
        <w:ind w:left="0"/>
        <w:jc w:val="both"/>
        <w:rPr>
          <w:b/>
        </w:rPr>
      </w:pPr>
      <w:proofErr w:type="spellStart"/>
      <w:r w:rsidRPr="00784341">
        <w:rPr>
          <w:b/>
        </w:rPr>
        <w:lastRenderedPageBreak/>
        <w:t>Igualdad</w:t>
      </w:r>
      <w:proofErr w:type="spellEnd"/>
      <w:r w:rsidRPr="00784341">
        <w:rPr>
          <w:b/>
        </w:rPr>
        <w:t xml:space="preserve"> de </w:t>
      </w:r>
      <w:proofErr w:type="spellStart"/>
      <w:r w:rsidRPr="00784341">
        <w:rPr>
          <w:b/>
        </w:rPr>
        <w:t>género</w:t>
      </w:r>
      <w:proofErr w:type="spellEnd"/>
      <w:r w:rsidRPr="00784341">
        <w:rPr>
          <w:b/>
        </w:rPr>
        <w:t xml:space="preserve"> en grandes empresas y </w:t>
      </w:r>
      <w:proofErr w:type="spellStart"/>
      <w:r w:rsidRPr="00784341">
        <w:rPr>
          <w:b/>
        </w:rPr>
        <w:t>PYMEs</w:t>
      </w:r>
      <w:proofErr w:type="spellEnd"/>
      <w:r w:rsidRPr="00784341">
        <w:rPr>
          <w:b/>
        </w:rPr>
        <w:t xml:space="preserve"> en España</w:t>
      </w:r>
      <w:r>
        <w:rPr>
          <w:b/>
        </w:rPr>
        <w:t>:</w:t>
      </w:r>
    </w:p>
    <w:p w:rsidR="00784341" w:rsidRDefault="00784341" w:rsidP="00784341">
      <w:pPr>
        <w:pStyle w:val="Prrafodelista"/>
        <w:ind w:left="0"/>
        <w:jc w:val="both"/>
        <w:rPr>
          <w:b/>
        </w:rPr>
      </w:pPr>
    </w:p>
    <w:p w:rsidR="00784341" w:rsidRPr="00784341" w:rsidRDefault="00784341" w:rsidP="00784341">
      <w:pPr>
        <w:tabs>
          <w:tab w:val="left" w:pos="3165"/>
        </w:tabs>
        <w:jc w:val="both"/>
        <w:rPr>
          <w:b/>
        </w:rPr>
      </w:pPr>
      <w:r w:rsidRPr="00784341">
        <w:rPr>
          <w:b/>
        </w:rPr>
        <w:t>· Grandes empresas:</w:t>
      </w:r>
    </w:p>
    <w:p w:rsidR="00784341" w:rsidRPr="00784341" w:rsidRDefault="00784341" w:rsidP="00784341">
      <w:pPr>
        <w:ind w:left="284"/>
        <w:jc w:val="both"/>
      </w:pPr>
      <w:r>
        <w:t xml:space="preserve">- El </w:t>
      </w:r>
      <w:r>
        <w:rPr>
          <w:rStyle w:val="Textoennegrita"/>
        </w:rPr>
        <w:t>50%</w:t>
      </w:r>
      <w:r>
        <w:t xml:space="preserve"> de las empresas adheridas han establecido </w:t>
      </w:r>
      <w:proofErr w:type="spellStart"/>
      <w:r>
        <w:t>objetivos</w:t>
      </w:r>
      <w:proofErr w:type="spellEnd"/>
      <w:r>
        <w:t xml:space="preserve"> públicos para lograr una representación de </w:t>
      </w:r>
      <w:proofErr w:type="spellStart"/>
      <w:r>
        <w:t>género</w:t>
      </w:r>
      <w:proofErr w:type="spellEnd"/>
      <w:r>
        <w:t xml:space="preserve"> equilibrada</w:t>
      </w:r>
      <w:r w:rsidRPr="00784341">
        <w:t>.</w:t>
      </w:r>
    </w:p>
    <w:p w:rsidR="00784341" w:rsidRPr="00784341" w:rsidRDefault="00784341" w:rsidP="00784341">
      <w:pPr>
        <w:ind w:left="284"/>
        <w:jc w:val="both"/>
      </w:pPr>
      <w:r>
        <w:t xml:space="preserve">- En el IBEX 35, el </w:t>
      </w:r>
      <w:r>
        <w:rPr>
          <w:rStyle w:val="Textoennegrita"/>
        </w:rPr>
        <w:t>86%</w:t>
      </w:r>
      <w:r>
        <w:t xml:space="preserve"> de las empresas </w:t>
      </w:r>
      <w:proofErr w:type="spellStart"/>
      <w:r>
        <w:t>tiene</w:t>
      </w:r>
      <w:proofErr w:type="spellEnd"/>
      <w:r>
        <w:t xml:space="preserve"> compromisos de </w:t>
      </w:r>
      <w:proofErr w:type="spellStart"/>
      <w:r>
        <w:t>reducción</w:t>
      </w:r>
      <w:proofErr w:type="spellEnd"/>
      <w:r>
        <w:t xml:space="preserve"> de </w:t>
      </w:r>
      <w:proofErr w:type="spellStart"/>
      <w:r>
        <w:t>emisiones</w:t>
      </w:r>
      <w:proofErr w:type="spellEnd"/>
      <w:r>
        <w:t xml:space="preserve">, lo que </w:t>
      </w:r>
      <w:proofErr w:type="spellStart"/>
      <w:r>
        <w:t>también</w:t>
      </w:r>
      <w:proofErr w:type="spellEnd"/>
      <w:r>
        <w:t xml:space="preserve"> impacta en la </w:t>
      </w:r>
      <w:proofErr w:type="spellStart"/>
      <w:r>
        <w:t>igualdad</w:t>
      </w:r>
      <w:proofErr w:type="spellEnd"/>
      <w:r>
        <w:t xml:space="preserve"> de oportunidades en sectores </w:t>
      </w:r>
      <w:proofErr w:type="spellStart"/>
      <w:r>
        <w:t>sostenibles</w:t>
      </w:r>
      <w:proofErr w:type="spellEnd"/>
      <w:r w:rsidRPr="00784341">
        <w:t>.</w:t>
      </w:r>
    </w:p>
    <w:p w:rsidR="00784341" w:rsidRDefault="00784341" w:rsidP="00784341">
      <w:pPr>
        <w:pStyle w:val="Prrafodelista"/>
        <w:ind w:left="0"/>
        <w:jc w:val="both"/>
        <w:rPr>
          <w:b/>
        </w:rPr>
      </w:pPr>
    </w:p>
    <w:p w:rsidR="00784341" w:rsidRPr="00784341" w:rsidRDefault="00784341" w:rsidP="00784341">
      <w:pPr>
        <w:tabs>
          <w:tab w:val="left" w:pos="3165"/>
        </w:tabs>
        <w:jc w:val="both"/>
        <w:rPr>
          <w:b/>
        </w:rPr>
      </w:pPr>
      <w:r w:rsidRPr="00784341">
        <w:rPr>
          <w:b/>
        </w:rPr>
        <w:t xml:space="preserve">· </w:t>
      </w:r>
      <w:proofErr w:type="spellStart"/>
      <w:r w:rsidRPr="00784341">
        <w:rPr>
          <w:b/>
        </w:rPr>
        <w:t>PYMEs</w:t>
      </w:r>
      <w:proofErr w:type="spellEnd"/>
      <w:r w:rsidRPr="00784341">
        <w:rPr>
          <w:b/>
        </w:rPr>
        <w:t>:</w:t>
      </w:r>
    </w:p>
    <w:p w:rsidR="00784341" w:rsidRPr="00784341" w:rsidRDefault="00784341" w:rsidP="00784341">
      <w:pPr>
        <w:ind w:left="284"/>
        <w:jc w:val="both"/>
      </w:pPr>
      <w:r>
        <w:t xml:space="preserve">- Las </w:t>
      </w:r>
      <w:proofErr w:type="spellStart"/>
      <w:r>
        <w:t>pymes</w:t>
      </w:r>
      <w:proofErr w:type="spellEnd"/>
      <w:r>
        <w:t xml:space="preserve"> </w:t>
      </w:r>
      <w:proofErr w:type="spellStart"/>
      <w:r>
        <w:t>muestran</w:t>
      </w:r>
      <w:proofErr w:type="spellEnd"/>
      <w:r>
        <w:t xml:space="preserve"> un progreso más lento en </w:t>
      </w:r>
      <w:proofErr w:type="spellStart"/>
      <w:r>
        <w:t>igualdad</w:t>
      </w:r>
      <w:proofErr w:type="spellEnd"/>
      <w:r>
        <w:t xml:space="preserve"> de </w:t>
      </w:r>
      <w:proofErr w:type="spellStart"/>
      <w:r>
        <w:t>género</w:t>
      </w:r>
      <w:proofErr w:type="spellEnd"/>
      <w:r w:rsidRPr="00784341">
        <w:t>.</w:t>
      </w:r>
    </w:p>
    <w:p w:rsidR="00784341" w:rsidRPr="00784341" w:rsidRDefault="00784341" w:rsidP="00784341">
      <w:pPr>
        <w:ind w:left="284"/>
        <w:jc w:val="both"/>
      </w:pPr>
      <w:r>
        <w:t xml:space="preserve">- La </w:t>
      </w:r>
      <w:proofErr w:type="spellStart"/>
      <w:r>
        <w:t>implementación</w:t>
      </w:r>
      <w:proofErr w:type="spellEnd"/>
      <w:r>
        <w:t xml:space="preserve"> de medidas es menos </w:t>
      </w:r>
      <w:proofErr w:type="spellStart"/>
      <w:r>
        <w:t>homogénea</w:t>
      </w:r>
      <w:proofErr w:type="spellEnd"/>
      <w:r>
        <w:t xml:space="preserve"> que en las grandes empresas</w:t>
      </w:r>
      <w:r w:rsidRPr="00784341">
        <w:t>.</w:t>
      </w:r>
    </w:p>
    <w:p w:rsidR="00784341" w:rsidRDefault="00784341" w:rsidP="00784341">
      <w:pPr>
        <w:pStyle w:val="Prrafodelista"/>
        <w:ind w:left="0"/>
        <w:jc w:val="both"/>
        <w:rPr>
          <w:b/>
        </w:rPr>
      </w:pPr>
    </w:p>
    <w:p w:rsidR="00784341" w:rsidRPr="00D53E21" w:rsidRDefault="00784341" w:rsidP="00784341">
      <w:pPr>
        <w:pStyle w:val="Prrafodelista"/>
        <w:numPr>
          <w:ilvl w:val="0"/>
          <w:numId w:val="5"/>
        </w:numPr>
        <w:ind w:left="0"/>
        <w:jc w:val="both"/>
        <w:rPr>
          <w:b/>
        </w:rPr>
      </w:pPr>
      <w:proofErr w:type="spellStart"/>
      <w:r>
        <w:rPr>
          <w:b/>
        </w:rPr>
        <w:t>Análisis</w:t>
      </w:r>
      <w:proofErr w:type="spellEnd"/>
      <w:r>
        <w:rPr>
          <w:b/>
        </w:rPr>
        <w:t xml:space="preserve"> de las </w:t>
      </w:r>
      <w:proofErr w:type="spellStart"/>
      <w:r>
        <w:rPr>
          <w:b/>
        </w:rPr>
        <w:t>PYMEs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impacto en la </w:t>
      </w:r>
      <w:proofErr w:type="spellStart"/>
      <w:r>
        <w:rPr>
          <w:b/>
        </w:rPr>
        <w:t>sostenibilidad</w:t>
      </w:r>
      <w:proofErr w:type="spellEnd"/>
      <w:r>
        <w:rPr>
          <w:b/>
        </w:rPr>
        <w:t xml:space="preserve"> en España:</w:t>
      </w:r>
    </w:p>
    <w:p w:rsidR="00784341" w:rsidRDefault="00784341" w:rsidP="00784341">
      <w:pPr>
        <w:pStyle w:val="Prrafodelista"/>
        <w:ind w:left="0"/>
        <w:jc w:val="both"/>
        <w:rPr>
          <w:b/>
        </w:rPr>
      </w:pPr>
    </w:p>
    <w:p w:rsidR="00784341" w:rsidRDefault="00784341" w:rsidP="00784341">
      <w:pPr>
        <w:tabs>
          <w:tab w:val="left" w:pos="3165"/>
          <w:tab w:val="left" w:pos="6949"/>
        </w:tabs>
        <w:jc w:val="both"/>
      </w:pPr>
      <w:r>
        <w:rPr>
          <w:b/>
        </w:rPr>
        <w:t xml:space="preserve">· </w:t>
      </w:r>
      <w:r w:rsidRPr="00784341">
        <w:rPr>
          <w:b/>
        </w:rPr>
        <w:t xml:space="preserve">Número de </w:t>
      </w:r>
      <w:proofErr w:type="spellStart"/>
      <w:r w:rsidRPr="00784341">
        <w:rPr>
          <w:b/>
        </w:rPr>
        <w:t>PYMEs</w:t>
      </w:r>
      <w:proofErr w:type="spellEnd"/>
      <w:r w:rsidRPr="00784341">
        <w:rPr>
          <w:b/>
        </w:rPr>
        <w:t xml:space="preserve"> en España: </w:t>
      </w:r>
      <w:proofErr w:type="spellStart"/>
      <w:r w:rsidRPr="00784341">
        <w:t>Casi</w:t>
      </w:r>
      <w:proofErr w:type="spellEnd"/>
      <w:r w:rsidRPr="00784341">
        <w:t xml:space="preserve"> un 100% de las empresas (99,8%)</w:t>
      </w:r>
    </w:p>
    <w:p w:rsidR="00784341" w:rsidRPr="00784341" w:rsidRDefault="00784341" w:rsidP="00784341">
      <w:pPr>
        <w:tabs>
          <w:tab w:val="left" w:pos="3165"/>
          <w:tab w:val="left" w:pos="6949"/>
        </w:tabs>
        <w:jc w:val="both"/>
      </w:pPr>
      <w:r w:rsidRPr="00784341">
        <w:rPr>
          <w:b/>
        </w:rPr>
        <w:t xml:space="preserve">· </w:t>
      </w:r>
      <w:proofErr w:type="spellStart"/>
      <w:r>
        <w:rPr>
          <w:b/>
        </w:rPr>
        <w:t>PYMEs</w:t>
      </w:r>
      <w:proofErr w:type="spellEnd"/>
      <w:r>
        <w:rPr>
          <w:b/>
        </w:rPr>
        <w:t>:</w:t>
      </w:r>
      <w:r>
        <w:rPr>
          <w:b/>
        </w:rPr>
        <w:t xml:space="preserve"> </w:t>
      </w:r>
      <w:proofErr w:type="spellStart"/>
      <w:r w:rsidRPr="00784341">
        <w:t>Supone</w:t>
      </w:r>
      <w:proofErr w:type="spellEnd"/>
      <w:r w:rsidRPr="00784341">
        <w:t xml:space="preserve"> un 61,7% del </w:t>
      </w:r>
      <w:proofErr w:type="spellStart"/>
      <w:r w:rsidRPr="00784341">
        <w:t>empleo</w:t>
      </w:r>
      <w:proofErr w:type="spellEnd"/>
      <w:r w:rsidRPr="00784341">
        <w:t xml:space="preserve"> total del país.</w:t>
      </w:r>
    </w:p>
    <w:p w:rsidR="00784341" w:rsidRPr="00784341" w:rsidRDefault="00784341" w:rsidP="00784341">
      <w:pPr>
        <w:tabs>
          <w:tab w:val="left" w:pos="3165"/>
          <w:tab w:val="left" w:pos="6949"/>
        </w:tabs>
        <w:jc w:val="both"/>
      </w:pPr>
      <w:r w:rsidRPr="00784341">
        <w:rPr>
          <w:b/>
        </w:rPr>
        <w:t xml:space="preserve">· </w:t>
      </w:r>
      <w:r w:rsidRPr="00784341">
        <w:rPr>
          <w:b/>
        </w:rPr>
        <w:t xml:space="preserve">Empresas del IBEX 35: </w:t>
      </w:r>
      <w:r w:rsidRPr="00784341">
        <w:t xml:space="preserve">El 100% </w:t>
      </w:r>
      <w:proofErr w:type="spellStart"/>
      <w:r w:rsidRPr="00784341">
        <w:t>cuenta</w:t>
      </w:r>
      <w:proofErr w:type="spellEnd"/>
      <w:r w:rsidRPr="00784341">
        <w:t xml:space="preserve"> con un código ético.</w:t>
      </w:r>
    </w:p>
    <w:p w:rsidR="00784341" w:rsidRPr="00784341" w:rsidRDefault="00784341" w:rsidP="00784341">
      <w:pPr>
        <w:tabs>
          <w:tab w:val="left" w:pos="3165"/>
          <w:tab w:val="left" w:pos="6949"/>
        </w:tabs>
        <w:jc w:val="both"/>
      </w:pPr>
      <w:r w:rsidRPr="00784341">
        <w:rPr>
          <w:b/>
        </w:rPr>
        <w:t xml:space="preserve">· </w:t>
      </w:r>
      <w:r w:rsidRPr="00784341">
        <w:rPr>
          <w:b/>
        </w:rPr>
        <w:t xml:space="preserve">Empresas españolas consultadas: </w:t>
      </w:r>
      <w:r w:rsidRPr="00784341">
        <w:t xml:space="preserve">Solo el 69% </w:t>
      </w:r>
      <w:proofErr w:type="spellStart"/>
      <w:r w:rsidRPr="00784341">
        <w:t>dispone</w:t>
      </w:r>
      <w:proofErr w:type="spellEnd"/>
      <w:r w:rsidRPr="00784341">
        <w:t xml:space="preserve"> de un código ético.</w:t>
      </w:r>
    </w:p>
    <w:p w:rsidR="00784341" w:rsidRPr="00784341" w:rsidRDefault="00784341" w:rsidP="00784341">
      <w:pPr>
        <w:tabs>
          <w:tab w:val="left" w:pos="3165"/>
          <w:tab w:val="left" w:pos="6949"/>
        </w:tabs>
        <w:jc w:val="both"/>
      </w:pPr>
      <w:r w:rsidRPr="00784341">
        <w:rPr>
          <w:b/>
        </w:rPr>
        <w:t xml:space="preserve">· </w:t>
      </w:r>
      <w:proofErr w:type="spellStart"/>
      <w:r w:rsidRPr="00784341">
        <w:rPr>
          <w:b/>
        </w:rPr>
        <w:t>PYMEs</w:t>
      </w:r>
      <w:proofErr w:type="spellEnd"/>
      <w:r w:rsidRPr="00784341">
        <w:rPr>
          <w:b/>
        </w:rPr>
        <w:t xml:space="preserve">: </w:t>
      </w:r>
      <w:r w:rsidRPr="00784341">
        <w:t xml:space="preserve">Apenas el 32% </w:t>
      </w:r>
      <w:proofErr w:type="spellStart"/>
      <w:r w:rsidRPr="00784341">
        <w:t>tiene</w:t>
      </w:r>
      <w:proofErr w:type="spellEnd"/>
      <w:r w:rsidRPr="00784341">
        <w:t xml:space="preserve"> </w:t>
      </w:r>
      <w:proofErr w:type="spellStart"/>
      <w:r w:rsidRPr="00784341">
        <w:t>canales</w:t>
      </w:r>
      <w:proofErr w:type="spellEnd"/>
      <w:r w:rsidRPr="00784341">
        <w:t xml:space="preserve"> de denuncia.</w:t>
      </w:r>
    </w:p>
    <w:p w:rsidR="00784341" w:rsidRPr="00784341" w:rsidRDefault="00784341" w:rsidP="00784341">
      <w:pPr>
        <w:pStyle w:val="Prrafodelista"/>
        <w:ind w:left="0"/>
        <w:jc w:val="both"/>
        <w:rPr>
          <w:b/>
        </w:rPr>
      </w:pPr>
      <w:bookmarkStart w:id="0" w:name="_GoBack"/>
      <w:bookmarkEnd w:id="0"/>
    </w:p>
    <w:sectPr w:rsidR="00784341" w:rsidRPr="00784341" w:rsidSect="00D53E21">
      <w:headerReference w:type="default" r:id="rId9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D88" w:rsidRDefault="00945D88" w:rsidP="00D53E21">
      <w:pPr>
        <w:spacing w:after="0" w:line="240" w:lineRule="auto"/>
      </w:pPr>
      <w:r>
        <w:separator/>
      </w:r>
    </w:p>
  </w:endnote>
  <w:endnote w:type="continuationSeparator" w:id="0">
    <w:p w:rsidR="00945D88" w:rsidRDefault="00945D88" w:rsidP="00D53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D88" w:rsidRDefault="00945D88" w:rsidP="00D53E21">
      <w:pPr>
        <w:spacing w:after="0" w:line="240" w:lineRule="auto"/>
      </w:pPr>
      <w:r>
        <w:separator/>
      </w:r>
    </w:p>
  </w:footnote>
  <w:footnote w:type="continuationSeparator" w:id="0">
    <w:p w:rsidR="00945D88" w:rsidRDefault="00945D88" w:rsidP="00D53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E21" w:rsidRDefault="00D53E21">
    <w:pPr>
      <w:pStyle w:val="Encabezado"/>
    </w:pPr>
    <w:r>
      <w:t xml:space="preserve">Alumno:  Marcos </w:t>
    </w:r>
    <w:proofErr w:type="spellStart"/>
    <w:r>
      <w:t>Chouza</w:t>
    </w:r>
    <w:proofErr w:type="spellEnd"/>
    <w:r>
      <w:t xml:space="preserve"> Cruces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B2EB7"/>
    <w:multiLevelType w:val="multilevel"/>
    <w:tmpl w:val="B468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FA2619"/>
    <w:multiLevelType w:val="multilevel"/>
    <w:tmpl w:val="A57E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390646"/>
    <w:multiLevelType w:val="multilevel"/>
    <w:tmpl w:val="B8CE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203D13"/>
    <w:multiLevelType w:val="multilevel"/>
    <w:tmpl w:val="7038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6C676E"/>
    <w:multiLevelType w:val="hybridMultilevel"/>
    <w:tmpl w:val="1BE22B1A"/>
    <w:lvl w:ilvl="0" w:tplc="5EA671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73E3E"/>
    <w:multiLevelType w:val="multilevel"/>
    <w:tmpl w:val="4374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101B05"/>
    <w:multiLevelType w:val="hybridMultilevel"/>
    <w:tmpl w:val="9DCC12E6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766A50"/>
    <w:multiLevelType w:val="hybridMultilevel"/>
    <w:tmpl w:val="B5E20C04"/>
    <w:lvl w:ilvl="0" w:tplc="712405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5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E21"/>
    <w:rsid w:val="00784341"/>
    <w:rsid w:val="00945D88"/>
    <w:rsid w:val="00951051"/>
    <w:rsid w:val="00D5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character" w:styleId="Textoennegrita">
    <w:name w:val="Strong"/>
    <w:basedOn w:val="Fuentedeprrafopredeter"/>
    <w:uiPriority w:val="22"/>
    <w:qFormat/>
    <w:rsid w:val="00D53E21"/>
    <w:rPr>
      <w:b/>
      <w:bCs/>
    </w:rPr>
  </w:style>
  <w:style w:type="paragraph" w:styleId="Prrafodelista">
    <w:name w:val="List Paragraph"/>
    <w:basedOn w:val="Normal"/>
    <w:uiPriority w:val="34"/>
    <w:qFormat/>
    <w:rsid w:val="00D53E2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3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3E2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3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E21"/>
  </w:style>
  <w:style w:type="paragraph" w:styleId="Piedepgina">
    <w:name w:val="footer"/>
    <w:basedOn w:val="Normal"/>
    <w:link w:val="PiedepginaCar"/>
    <w:uiPriority w:val="99"/>
    <w:unhideWhenUsed/>
    <w:rsid w:val="00D53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E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character" w:styleId="Textoennegrita">
    <w:name w:val="Strong"/>
    <w:basedOn w:val="Fuentedeprrafopredeter"/>
    <w:uiPriority w:val="22"/>
    <w:qFormat/>
    <w:rsid w:val="00D53E21"/>
    <w:rPr>
      <w:b/>
      <w:bCs/>
    </w:rPr>
  </w:style>
  <w:style w:type="paragraph" w:styleId="Prrafodelista">
    <w:name w:val="List Paragraph"/>
    <w:basedOn w:val="Normal"/>
    <w:uiPriority w:val="34"/>
    <w:qFormat/>
    <w:rsid w:val="00D53E2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3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3E2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3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E21"/>
  </w:style>
  <w:style w:type="paragraph" w:styleId="Piedepgina">
    <w:name w:val="footer"/>
    <w:basedOn w:val="Normal"/>
    <w:link w:val="PiedepginaCar"/>
    <w:uiPriority w:val="99"/>
    <w:unhideWhenUsed/>
    <w:rsid w:val="00D53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1</cp:revision>
  <dcterms:created xsi:type="dcterms:W3CDTF">2025-02-12T12:45:00Z</dcterms:created>
  <dcterms:modified xsi:type="dcterms:W3CDTF">2025-02-12T13:04:00Z</dcterms:modified>
</cp:coreProperties>
</file>