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2E56" w14:textId="41AFDD04" w:rsidR="0080721C" w:rsidRDefault="00D27DFF">
      <w:pPr>
        <w:pStyle w:val="Title"/>
      </w:pPr>
      <w:r>
        <w:t>PRODUCTION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TEXTES</w:t>
      </w:r>
      <w:r>
        <w:rPr>
          <w:spacing w:val="-8"/>
        </w:rPr>
        <w:t xml:space="preserve"> </w:t>
      </w:r>
      <w:r>
        <w:t>ÉCRITS</w:t>
      </w:r>
    </w:p>
    <w:p w14:paraId="362E7927" w14:textId="77777777" w:rsidR="0080721C" w:rsidRDefault="0080721C">
      <w:pPr>
        <w:pStyle w:val="BodyText"/>
        <w:spacing w:before="1"/>
        <w:rPr>
          <w:rFonts w:ascii="Arial"/>
          <w:b/>
          <w:sz w:val="28"/>
        </w:rPr>
      </w:pPr>
    </w:p>
    <w:p w14:paraId="56EDB6B8" w14:textId="77777777" w:rsidR="0080721C" w:rsidRDefault="0080721C">
      <w:pPr>
        <w:pStyle w:val="BodyText"/>
        <w:spacing w:before="10"/>
        <w:rPr>
          <w:sz w:val="16"/>
        </w:rPr>
      </w:pPr>
    </w:p>
    <w:tbl>
      <w:tblPr>
        <w:tblW w:w="0" w:type="auto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3"/>
      </w:tblGrid>
      <w:tr w:rsidR="0080721C" w14:paraId="032DC9C2" w14:textId="77777777">
        <w:trPr>
          <w:trHeight w:val="364"/>
        </w:trPr>
        <w:tc>
          <w:tcPr>
            <w:tcW w:w="9933" w:type="dxa"/>
            <w:shd w:val="clear" w:color="auto" w:fill="DEE6EE"/>
          </w:tcPr>
          <w:p w14:paraId="35C69C1E" w14:textId="73CFBB58" w:rsidR="00C63604" w:rsidRDefault="00C63604" w:rsidP="00C63604">
            <w:pPr>
              <w:pStyle w:val="BodyText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magazine</w:t>
            </w:r>
            <w:r>
              <w:rPr>
                <w:spacing w:val="3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publié</w:t>
            </w:r>
            <w:r>
              <w:rPr>
                <w:spacing w:val="-4"/>
              </w:rPr>
              <w:t xml:space="preserve"> </w:t>
            </w:r>
            <w:r>
              <w:t>cette</w:t>
            </w:r>
            <w:r>
              <w:rPr>
                <w:spacing w:val="-3"/>
              </w:rPr>
              <w:t xml:space="preserve"> </w:t>
            </w:r>
            <w:r>
              <w:t>enquête</w:t>
            </w:r>
            <w:r>
              <w:rPr>
                <w:spacing w:val="-4"/>
              </w:rPr>
              <w:t xml:space="preserve"> </w:t>
            </w:r>
            <w:r>
              <w:t>sur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0"/>
              </w:rPr>
              <w:t xml:space="preserve"> </w:t>
            </w:r>
            <w:r>
              <w:t>mixité</w:t>
            </w:r>
            <w:r>
              <w:rPr>
                <w:spacing w:val="-4"/>
              </w:rPr>
              <w:t xml:space="preserve"> </w:t>
            </w:r>
            <w:r>
              <w:t>des</w:t>
            </w:r>
            <w:r>
              <w:rPr>
                <w:spacing w:val="-7"/>
              </w:rPr>
              <w:t xml:space="preserve"> </w:t>
            </w:r>
            <w:r>
              <w:t>jouets.</w:t>
            </w:r>
          </w:p>
          <w:p w14:paraId="78878CB4" w14:textId="36C29E5C" w:rsidR="0080721C" w:rsidRDefault="0080721C">
            <w:pPr>
              <w:pStyle w:val="TableParagraph"/>
              <w:tabs>
                <w:tab w:val="left" w:pos="7327"/>
              </w:tabs>
              <w:spacing w:before="64"/>
              <w:rPr>
                <w:rFonts w:ascii="Arial" w:hAnsi="Arial"/>
                <w:b/>
              </w:rPr>
            </w:pPr>
          </w:p>
        </w:tc>
      </w:tr>
      <w:tr w:rsidR="0080721C" w14:paraId="128FEB64" w14:textId="77777777" w:rsidTr="00C63604">
        <w:trPr>
          <w:trHeight w:val="2078"/>
        </w:trPr>
        <w:tc>
          <w:tcPr>
            <w:tcW w:w="9933" w:type="dxa"/>
          </w:tcPr>
          <w:p w14:paraId="0EA1CE67" w14:textId="77777777" w:rsidR="0080721C" w:rsidRDefault="00D27DFF">
            <w:pPr>
              <w:pStyle w:val="TableParagraph"/>
              <w:spacing w:before="160"/>
              <w:ind w:right="49"/>
              <w:jc w:val="both"/>
            </w:pPr>
            <w:r>
              <w:t>A la question « Les filles ont-elles des jouets de garçon ? » Selon l’étude, 70.44% des parents ayant</w:t>
            </w:r>
            <w:r>
              <w:rPr>
                <w:spacing w:val="-59"/>
              </w:rPr>
              <w:t xml:space="preserve"> </w:t>
            </w:r>
            <w:r>
              <w:t>une fille affirment qu’elle possède déjà des jouets dit de « garçon » (type : garage, voiture, chevalier,</w:t>
            </w:r>
            <w:r>
              <w:rPr>
                <w:spacing w:val="-59"/>
              </w:rPr>
              <w:t xml:space="preserve"> </w:t>
            </w:r>
            <w:r>
              <w:t>etc.). Contre 29.56% qui n’ont pas encore ou qui ne souhaitent pas acheter des jouets « de garçon »</w:t>
            </w:r>
            <w:r>
              <w:rPr>
                <w:spacing w:val="-59"/>
              </w:rPr>
              <w:t xml:space="preserve"> </w:t>
            </w:r>
            <w:r>
              <w:t xml:space="preserve">à leur fille. Parmi eux, 60.47% ont l’intention d’en acheter prochainement. Tandis que 39.53% </w:t>
            </w:r>
            <w:r>
              <w:rPr>
                <w:spacing w:val="9"/>
              </w:rPr>
              <w:t xml:space="preserve">ne </w:t>
            </w:r>
            <w:r>
              <w:t>le</w:t>
            </w:r>
            <w:r>
              <w:rPr>
                <w:spacing w:val="1"/>
              </w:rPr>
              <w:t xml:space="preserve"> </w:t>
            </w:r>
            <w:r>
              <w:t>souhaitent</w:t>
            </w:r>
            <w:r>
              <w:rPr>
                <w:spacing w:val="-6"/>
              </w:rPr>
              <w:t xml:space="preserve"> </w:t>
            </w:r>
            <w:r>
              <w:t>pas.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raison</w:t>
            </w:r>
            <w:r>
              <w:rPr>
                <w:spacing w:val="-4"/>
              </w:rPr>
              <w:t xml:space="preserve"> </w:t>
            </w:r>
            <w:r>
              <w:t>?</w:t>
            </w:r>
            <w:r>
              <w:rPr>
                <w:spacing w:val="14"/>
              </w:rPr>
              <w:t xml:space="preserve"> </w:t>
            </w:r>
            <w:r>
              <w:t>Les</w:t>
            </w:r>
            <w:r>
              <w:rPr>
                <w:spacing w:val="-7"/>
              </w:rPr>
              <w:t xml:space="preserve"> </w:t>
            </w:r>
            <w:r>
              <w:t>parents</w:t>
            </w:r>
            <w:r>
              <w:rPr>
                <w:spacing w:val="-8"/>
              </w:rPr>
              <w:t xml:space="preserve"> </w:t>
            </w:r>
            <w:r>
              <w:t>n’ont</w:t>
            </w:r>
            <w:r>
              <w:rPr>
                <w:spacing w:val="-5"/>
              </w:rPr>
              <w:t xml:space="preserve"> </w:t>
            </w:r>
            <w:r>
              <w:t>jamais</w:t>
            </w:r>
            <w:r>
              <w:rPr>
                <w:spacing w:val="29"/>
              </w:rPr>
              <w:t xml:space="preserve"> </w:t>
            </w:r>
            <w:r>
              <w:t>pen</w:t>
            </w:r>
            <w:r>
              <w:t>sé</w:t>
            </w:r>
            <w:r>
              <w:rPr>
                <w:spacing w:val="-4"/>
              </w:rPr>
              <w:t xml:space="preserve"> </w:t>
            </w:r>
            <w:r>
              <w:t>à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offrir,</w:t>
            </w:r>
            <w:r>
              <w:rPr>
                <w:spacing w:val="-6"/>
              </w:rPr>
              <w:t xml:space="preserve"> </w:t>
            </w:r>
            <w:r>
              <w:t>mais</w:t>
            </w:r>
            <w:r>
              <w:rPr>
                <w:spacing w:val="-7"/>
              </w:rPr>
              <w:t xml:space="preserve"> </w:t>
            </w:r>
            <w:r>
              <w:t>finalement</w:t>
            </w:r>
            <w:r>
              <w:rPr>
                <w:spacing w:val="-5"/>
              </w:rPr>
              <w:t xml:space="preserve"> </w:t>
            </w:r>
            <w:r>
              <w:t>pourquoi</w:t>
            </w:r>
            <w:r>
              <w:rPr>
                <w:spacing w:val="-10"/>
              </w:rPr>
              <w:t xml:space="preserve"> </w:t>
            </w:r>
            <w:r>
              <w:t>pas,</w:t>
            </w:r>
            <w:r>
              <w:rPr>
                <w:spacing w:val="-59"/>
              </w:rPr>
              <w:t xml:space="preserve"> </w:t>
            </w:r>
            <w:r>
              <w:t xml:space="preserve">à 62.63%. Ma fille n’aime pas ce genre de jouets à 29.29%. Et à 8.08%, ce sont les </w:t>
            </w:r>
            <w:r>
              <w:rPr>
                <w:spacing w:val="14"/>
              </w:rPr>
              <w:t xml:space="preserve">parents </w:t>
            </w:r>
            <w:r>
              <w:rPr>
                <w:spacing w:val="12"/>
              </w:rPr>
              <w:t xml:space="preserve">qui </w:t>
            </w:r>
            <w:r>
              <w:rPr>
                <w:spacing w:val="9"/>
              </w:rPr>
              <w:t>ne</w:t>
            </w:r>
            <w:r>
              <w:rPr>
                <w:spacing w:val="-59"/>
              </w:rPr>
              <w:t xml:space="preserve"> </w:t>
            </w:r>
            <w:r>
              <w:t>souhaitent</w:t>
            </w:r>
            <w:r>
              <w:rPr>
                <w:spacing w:val="-11"/>
              </w:rPr>
              <w:t xml:space="preserve"> </w:t>
            </w:r>
            <w:r>
              <w:t>pas</w:t>
            </w:r>
            <w:r>
              <w:rPr>
                <w:spacing w:val="-13"/>
              </w:rPr>
              <w:t xml:space="preserve"> </w:t>
            </w:r>
            <w:r>
              <w:t>que</w:t>
            </w:r>
            <w:r>
              <w:rPr>
                <w:spacing w:val="-10"/>
              </w:rPr>
              <w:t xml:space="preserve"> </w:t>
            </w:r>
            <w:r>
              <w:t>leur</w:t>
            </w:r>
            <w:r>
              <w:rPr>
                <w:spacing w:val="-8"/>
              </w:rPr>
              <w:t xml:space="preserve"> </w:t>
            </w:r>
            <w:r>
              <w:t>fille</w:t>
            </w:r>
            <w:r>
              <w:rPr>
                <w:spacing w:val="-10"/>
              </w:rPr>
              <w:t xml:space="preserve"> </w:t>
            </w:r>
            <w:r>
              <w:t>joue</w:t>
            </w:r>
            <w:r>
              <w:rPr>
                <w:spacing w:val="-10"/>
              </w:rPr>
              <w:t xml:space="preserve"> </w:t>
            </w:r>
            <w:r>
              <w:t>avec</w:t>
            </w:r>
            <w:r>
              <w:rPr>
                <w:spacing w:val="-13"/>
              </w:rPr>
              <w:t xml:space="preserve"> </w:t>
            </w:r>
            <w:r>
              <w:t>ce</w:t>
            </w:r>
            <w:r>
              <w:rPr>
                <w:spacing w:val="-10"/>
              </w:rPr>
              <w:t xml:space="preserve"> </w:t>
            </w:r>
            <w:r>
              <w:t>type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jouets.</w:t>
            </w:r>
          </w:p>
          <w:p w14:paraId="4B3D87CF" w14:textId="74EF5F9A" w:rsidR="0080721C" w:rsidRPr="00C63604" w:rsidRDefault="00D27DFF" w:rsidP="00C63604">
            <w:pPr>
              <w:pStyle w:val="TableParagraph"/>
              <w:spacing w:before="111"/>
              <w:ind w:left="0" w:right="11"/>
              <w:jc w:val="right"/>
              <w:rPr>
                <w:rFonts w:ascii="Arial"/>
                <w:i/>
                <w:sz w:val="16"/>
              </w:rPr>
            </w:pPr>
            <w:r>
              <w:rPr>
                <w:rFonts w:ascii="Arial"/>
                <w:i/>
                <w:sz w:val="16"/>
              </w:rPr>
              <w:t>Source</w:t>
            </w:r>
            <w:r>
              <w:rPr>
                <w:rFonts w:ascii="Arial"/>
                <w:i/>
                <w:spacing w:val="6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>:</w:t>
            </w:r>
            <w:r>
              <w:rPr>
                <w:rFonts w:ascii="Arial"/>
                <w:i/>
                <w:spacing w:val="-1"/>
                <w:sz w:val="16"/>
              </w:rPr>
              <w:t xml:space="preserve"> </w:t>
            </w:r>
            <w:hyperlink r:id="rId5">
              <w:r>
                <w:rPr>
                  <w:rFonts w:ascii="Arial"/>
                  <w:i/>
                  <w:sz w:val="16"/>
                </w:rPr>
                <w:t>www.parents.fr</w:t>
              </w:r>
            </w:hyperlink>
          </w:p>
        </w:tc>
      </w:tr>
    </w:tbl>
    <w:p w14:paraId="5C8B8B81" w14:textId="77777777" w:rsidR="0080721C" w:rsidRDefault="0080721C">
      <w:pPr>
        <w:pStyle w:val="BodyText"/>
        <w:spacing w:before="1"/>
        <w:rPr>
          <w:sz w:val="21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3"/>
      </w:tblGrid>
      <w:tr w:rsidR="0080721C" w14:paraId="20B08601" w14:textId="77777777">
        <w:trPr>
          <w:trHeight w:val="364"/>
        </w:trPr>
        <w:tc>
          <w:tcPr>
            <w:tcW w:w="9933" w:type="dxa"/>
            <w:shd w:val="clear" w:color="auto" w:fill="DEE6EE"/>
          </w:tcPr>
          <w:p w14:paraId="239292C1" w14:textId="77777777" w:rsidR="00C63604" w:rsidRDefault="00C63604" w:rsidP="00C63604">
            <w:pPr>
              <w:pStyle w:val="TableParagraph"/>
              <w:spacing w:before="31"/>
              <w:ind w:left="5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Temps</w:t>
            </w:r>
            <w:r>
              <w:rPr>
                <w:rFonts w:ascii="Arial" w:hAnsi="Arial"/>
                <w:b/>
                <w:spacing w:val="4"/>
              </w:rPr>
              <w:t xml:space="preserve"> </w:t>
            </w:r>
            <w:r>
              <w:rPr>
                <w:rFonts w:ascii="Arial" w:hAnsi="Arial"/>
                <w:b/>
              </w:rPr>
              <w:t>approximatif</w:t>
            </w:r>
            <w:r>
              <w:rPr>
                <w:rFonts w:ascii="Arial" w:hAnsi="Arial"/>
                <w:b/>
                <w:spacing w:val="7"/>
              </w:rPr>
              <w:t xml:space="preserve"> </w:t>
            </w:r>
            <w:r>
              <w:rPr>
                <w:rFonts w:ascii="Arial" w:hAnsi="Arial"/>
                <w:b/>
              </w:rPr>
              <w:t>pour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réaliser</w:t>
            </w:r>
            <w:r>
              <w:rPr>
                <w:rFonts w:ascii="Arial" w:hAnsi="Arial"/>
                <w:b/>
                <w:spacing w:val="-8"/>
              </w:rPr>
              <w:t xml:space="preserve"> </w:t>
            </w:r>
            <w:r>
              <w:rPr>
                <w:rFonts w:ascii="Arial" w:hAnsi="Arial"/>
                <w:b/>
              </w:rPr>
              <w:t>cette</w:t>
            </w:r>
            <w:r>
              <w:rPr>
                <w:rFonts w:ascii="Arial" w:hAnsi="Arial"/>
                <w:b/>
                <w:spacing w:val="4"/>
              </w:rPr>
              <w:t xml:space="preserve"> </w:t>
            </w:r>
            <w:r>
              <w:rPr>
                <w:rFonts w:ascii="Arial" w:hAnsi="Arial"/>
                <w:b/>
              </w:rPr>
              <w:t>tâche</w:t>
            </w:r>
            <w:r>
              <w:rPr>
                <w:rFonts w:ascii="Arial" w:hAnsi="Arial"/>
                <w:b/>
                <w:spacing w:val="-15"/>
              </w:rPr>
              <w:t xml:space="preserve"> </w:t>
            </w:r>
            <w:r>
              <w:rPr>
                <w:rFonts w:ascii="Arial" w:hAnsi="Arial"/>
                <w:b/>
              </w:rPr>
              <w:t>:</w:t>
            </w:r>
            <w:r>
              <w:rPr>
                <w:rFonts w:ascii="Arial" w:hAnsi="Arial"/>
                <w:b/>
                <w:spacing w:val="7"/>
              </w:rPr>
              <w:t xml:space="preserve"> </w:t>
            </w:r>
            <w:r>
              <w:rPr>
                <w:rFonts w:ascii="Arial" w:hAnsi="Arial"/>
                <w:b/>
              </w:rPr>
              <w:t>45</w:t>
            </w:r>
            <w:r>
              <w:rPr>
                <w:rFonts w:ascii="Arial" w:hAnsi="Arial"/>
                <w:b/>
                <w:spacing w:val="5"/>
              </w:rPr>
              <w:t xml:space="preserve"> </w:t>
            </w:r>
            <w:r>
              <w:rPr>
                <w:rFonts w:ascii="Arial" w:hAnsi="Arial"/>
                <w:b/>
              </w:rPr>
              <w:t>minutes</w:t>
            </w:r>
          </w:p>
          <w:p w14:paraId="7073AC93" w14:textId="3EFDDCC9" w:rsidR="0080721C" w:rsidRDefault="0080721C">
            <w:pPr>
              <w:pStyle w:val="TableParagraph"/>
              <w:tabs>
                <w:tab w:val="left" w:leader="dot" w:pos="8337"/>
              </w:tabs>
              <w:spacing w:before="48"/>
              <w:ind w:left="54"/>
              <w:rPr>
                <w:rFonts w:ascii="Arial" w:hAnsi="Arial"/>
                <w:b/>
              </w:rPr>
            </w:pPr>
          </w:p>
        </w:tc>
      </w:tr>
      <w:tr w:rsidR="0080721C" w14:paraId="56831A4E" w14:textId="77777777" w:rsidTr="00C63604">
        <w:trPr>
          <w:trHeight w:val="1573"/>
        </w:trPr>
        <w:tc>
          <w:tcPr>
            <w:tcW w:w="9933" w:type="dxa"/>
          </w:tcPr>
          <w:p w14:paraId="520A6CF2" w14:textId="77777777" w:rsidR="0080721C" w:rsidRDefault="00D27DFF">
            <w:pPr>
              <w:pStyle w:val="TableParagraph"/>
              <w:spacing w:before="180"/>
              <w:ind w:left="54"/>
            </w:pPr>
            <w:r>
              <w:t>Vous</w:t>
            </w:r>
            <w:r>
              <w:rPr>
                <w:spacing w:val="-4"/>
              </w:rPr>
              <w:t xml:space="preserve"> </w:t>
            </w:r>
            <w:r>
              <w:t>devez</w:t>
            </w:r>
            <w:r>
              <w:rPr>
                <w:spacing w:val="-4"/>
              </w:rPr>
              <w:t xml:space="preserve"> </w:t>
            </w:r>
            <w:r>
              <w:t>obligatoirement</w:t>
            </w:r>
            <w:r>
              <w:rPr>
                <w:spacing w:val="-1"/>
              </w:rPr>
              <w:t xml:space="preserve"> </w:t>
            </w:r>
            <w:r>
              <w:t>traiter</w:t>
            </w:r>
            <w:r>
              <w:rPr>
                <w:spacing w:val="2"/>
              </w:rPr>
              <w:t xml:space="preserve"> </w:t>
            </w:r>
            <w:r>
              <w:t>les</w:t>
            </w:r>
            <w:r>
              <w:rPr>
                <w:spacing w:val="-3"/>
              </w:rPr>
              <w:t xml:space="preserve"> </w:t>
            </w:r>
            <w:r>
              <w:t>points</w:t>
            </w:r>
            <w:r>
              <w:rPr>
                <w:spacing w:val="-4"/>
              </w:rPr>
              <w:t xml:space="preserve"> </w:t>
            </w:r>
            <w:r>
              <w:t>suivants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  <w:p w14:paraId="75025601" w14:textId="77777777" w:rsidR="0080721C" w:rsidRDefault="00D27DFF">
            <w:pPr>
              <w:pStyle w:val="TableParagraph"/>
              <w:numPr>
                <w:ilvl w:val="0"/>
                <w:numId w:val="1"/>
              </w:numPr>
              <w:tabs>
                <w:tab w:val="left" w:pos="679"/>
              </w:tabs>
              <w:spacing w:before="115"/>
            </w:pPr>
            <w:r>
              <w:rPr>
                <w:rFonts w:ascii="Arial" w:hAnsi="Arial"/>
                <w:b/>
              </w:rPr>
              <w:t xml:space="preserve">Expliquez </w:t>
            </w:r>
            <w:r>
              <w:t>l’importance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l’éducation</w:t>
            </w:r>
            <w:r>
              <w:rPr>
                <w:spacing w:val="5"/>
              </w:rPr>
              <w:t xml:space="preserve"> </w:t>
            </w:r>
            <w:r>
              <w:t>dans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18"/>
              </w:rPr>
              <w:t xml:space="preserve"> </w:t>
            </w:r>
            <w:r>
              <w:t>lutte contre le</w:t>
            </w:r>
            <w:r>
              <w:rPr>
                <w:spacing w:val="6"/>
              </w:rPr>
              <w:t xml:space="preserve"> </w:t>
            </w:r>
            <w:r>
              <w:t>sexisme.</w:t>
            </w:r>
          </w:p>
          <w:p w14:paraId="75AA5940" w14:textId="77777777" w:rsidR="0080721C" w:rsidRDefault="00D27DFF">
            <w:pPr>
              <w:pStyle w:val="TableParagraph"/>
              <w:numPr>
                <w:ilvl w:val="0"/>
                <w:numId w:val="1"/>
              </w:numPr>
              <w:tabs>
                <w:tab w:val="left" w:pos="679"/>
              </w:tabs>
            </w:pPr>
            <w:r>
              <w:rPr>
                <w:rFonts w:ascii="Arial" w:hAnsi="Arial"/>
                <w:b/>
              </w:rPr>
              <w:t>Argumentez</w:t>
            </w:r>
            <w:r>
              <w:rPr>
                <w:rFonts w:ascii="Arial" w:hAnsi="Arial"/>
                <w:b/>
                <w:spacing w:val="2"/>
              </w:rPr>
              <w:t xml:space="preserve"> </w:t>
            </w:r>
            <w:r>
              <w:t>sur</w:t>
            </w:r>
            <w:r>
              <w:rPr>
                <w:spacing w:val="6"/>
              </w:rPr>
              <w:t xml:space="preserve"> </w:t>
            </w:r>
            <w:r>
              <w:t>la</w:t>
            </w:r>
            <w:r>
              <w:rPr>
                <w:spacing w:val="-18"/>
              </w:rPr>
              <w:t xml:space="preserve"> </w:t>
            </w:r>
            <w:r>
              <w:t>voie</w:t>
            </w:r>
            <w:r>
              <w:rPr>
                <w:spacing w:val="1"/>
              </w:rPr>
              <w:t xml:space="preserve"> </w:t>
            </w:r>
            <w:r>
              <w:t>à</w:t>
            </w:r>
            <w:r>
              <w:rPr>
                <w:spacing w:val="22"/>
              </w:rPr>
              <w:t xml:space="preserve"> </w:t>
            </w:r>
            <w:r>
              <w:t>emprunter</w:t>
            </w:r>
            <w:r>
              <w:rPr>
                <w:spacing w:val="4"/>
              </w:rPr>
              <w:t xml:space="preserve"> </w:t>
            </w:r>
            <w:r>
              <w:t>pour</w:t>
            </w:r>
            <w:r>
              <w:rPr>
                <w:spacing w:val="13"/>
              </w:rPr>
              <w:t xml:space="preserve"> </w:t>
            </w:r>
            <w:r>
              <w:t>parvenir</w:t>
            </w:r>
            <w:r>
              <w:rPr>
                <w:spacing w:val="3"/>
              </w:rPr>
              <w:t xml:space="preserve"> </w:t>
            </w:r>
            <w:r>
              <w:t>à</w:t>
            </w:r>
            <w:r>
              <w:rPr>
                <w:spacing w:val="-17"/>
              </w:rPr>
              <w:t xml:space="preserve"> </w:t>
            </w:r>
            <w:r>
              <w:t>l’égalité</w:t>
            </w:r>
            <w:r>
              <w:rPr>
                <w:spacing w:val="1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genres.</w:t>
            </w:r>
          </w:p>
          <w:p w14:paraId="232ED3E1" w14:textId="77777777" w:rsidR="0080721C" w:rsidRDefault="00D27DFF">
            <w:pPr>
              <w:pStyle w:val="TableParagraph"/>
              <w:spacing w:before="132"/>
              <w:ind w:left="5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mots :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minimum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200</w:t>
            </w:r>
            <w:r>
              <w:rPr>
                <w:rFonts w:ascii="Arial"/>
                <w:b/>
                <w:spacing w:val="8"/>
              </w:rPr>
              <w:t xml:space="preserve"> </w:t>
            </w:r>
            <w:r>
              <w:rPr>
                <w:rFonts w:ascii="Arial"/>
                <w:b/>
              </w:rPr>
              <w:t>-</w:t>
            </w:r>
            <w:r>
              <w:rPr>
                <w:rFonts w:ascii="Arial"/>
                <w:b/>
                <w:spacing w:val="3"/>
              </w:rPr>
              <w:t xml:space="preserve"> </w:t>
            </w: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230</w:t>
            </w:r>
          </w:p>
        </w:tc>
      </w:tr>
    </w:tbl>
    <w:p w14:paraId="7E950BAE" w14:textId="77777777" w:rsidR="00000000" w:rsidRDefault="00D27DFF"/>
    <w:sectPr w:rsidR="00000000">
      <w:type w:val="continuous"/>
      <w:pgSz w:w="11910" w:h="16840"/>
      <w:pgMar w:top="1320" w:right="5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F0E"/>
    <w:multiLevelType w:val="hybridMultilevel"/>
    <w:tmpl w:val="BCC2FF12"/>
    <w:lvl w:ilvl="0" w:tplc="FE303352">
      <w:numFmt w:val="bullet"/>
      <w:lvlText w:val="-"/>
      <w:lvlJc w:val="left"/>
      <w:pPr>
        <w:ind w:left="679" w:hanging="128"/>
      </w:pPr>
      <w:rPr>
        <w:rFonts w:ascii="Arial" w:eastAsia="Arial" w:hAnsi="Arial" w:cs="Arial" w:hint="default"/>
        <w:b/>
        <w:bCs/>
        <w:w w:val="101"/>
        <w:sz w:val="22"/>
        <w:szCs w:val="22"/>
        <w:lang w:val="fr-FR" w:eastAsia="en-US" w:bidi="ar-SA"/>
      </w:rPr>
    </w:lvl>
    <w:lvl w:ilvl="1" w:tplc="28440EEA">
      <w:numFmt w:val="bullet"/>
      <w:lvlText w:val="•"/>
      <w:lvlJc w:val="left"/>
      <w:pPr>
        <w:ind w:left="1603" w:hanging="128"/>
      </w:pPr>
      <w:rPr>
        <w:rFonts w:hint="default"/>
        <w:lang w:val="fr-FR" w:eastAsia="en-US" w:bidi="ar-SA"/>
      </w:rPr>
    </w:lvl>
    <w:lvl w:ilvl="2" w:tplc="7EC0F2F8">
      <w:numFmt w:val="bullet"/>
      <w:lvlText w:val="•"/>
      <w:lvlJc w:val="left"/>
      <w:pPr>
        <w:ind w:left="2526" w:hanging="128"/>
      </w:pPr>
      <w:rPr>
        <w:rFonts w:hint="default"/>
        <w:lang w:val="fr-FR" w:eastAsia="en-US" w:bidi="ar-SA"/>
      </w:rPr>
    </w:lvl>
    <w:lvl w:ilvl="3" w:tplc="A0460AAE">
      <w:numFmt w:val="bullet"/>
      <w:lvlText w:val="•"/>
      <w:lvlJc w:val="left"/>
      <w:pPr>
        <w:ind w:left="3449" w:hanging="128"/>
      </w:pPr>
      <w:rPr>
        <w:rFonts w:hint="default"/>
        <w:lang w:val="fr-FR" w:eastAsia="en-US" w:bidi="ar-SA"/>
      </w:rPr>
    </w:lvl>
    <w:lvl w:ilvl="4" w:tplc="2CFE5C06">
      <w:numFmt w:val="bullet"/>
      <w:lvlText w:val="•"/>
      <w:lvlJc w:val="left"/>
      <w:pPr>
        <w:ind w:left="4373" w:hanging="128"/>
      </w:pPr>
      <w:rPr>
        <w:rFonts w:hint="default"/>
        <w:lang w:val="fr-FR" w:eastAsia="en-US" w:bidi="ar-SA"/>
      </w:rPr>
    </w:lvl>
    <w:lvl w:ilvl="5" w:tplc="E5BAD224">
      <w:numFmt w:val="bullet"/>
      <w:lvlText w:val="•"/>
      <w:lvlJc w:val="left"/>
      <w:pPr>
        <w:ind w:left="5296" w:hanging="128"/>
      </w:pPr>
      <w:rPr>
        <w:rFonts w:hint="default"/>
        <w:lang w:val="fr-FR" w:eastAsia="en-US" w:bidi="ar-SA"/>
      </w:rPr>
    </w:lvl>
    <w:lvl w:ilvl="6" w:tplc="42CE3842">
      <w:numFmt w:val="bullet"/>
      <w:lvlText w:val="•"/>
      <w:lvlJc w:val="left"/>
      <w:pPr>
        <w:ind w:left="6219" w:hanging="128"/>
      </w:pPr>
      <w:rPr>
        <w:rFonts w:hint="default"/>
        <w:lang w:val="fr-FR" w:eastAsia="en-US" w:bidi="ar-SA"/>
      </w:rPr>
    </w:lvl>
    <w:lvl w:ilvl="7" w:tplc="8D58DF24">
      <w:numFmt w:val="bullet"/>
      <w:lvlText w:val="•"/>
      <w:lvlJc w:val="left"/>
      <w:pPr>
        <w:ind w:left="7143" w:hanging="128"/>
      </w:pPr>
      <w:rPr>
        <w:rFonts w:hint="default"/>
        <w:lang w:val="fr-FR" w:eastAsia="en-US" w:bidi="ar-SA"/>
      </w:rPr>
    </w:lvl>
    <w:lvl w:ilvl="8" w:tplc="FA1209E6">
      <w:numFmt w:val="bullet"/>
      <w:lvlText w:val="•"/>
      <w:lvlJc w:val="left"/>
      <w:pPr>
        <w:ind w:left="8066" w:hanging="128"/>
      </w:pPr>
      <w:rPr>
        <w:rFonts w:hint="default"/>
        <w:lang w:val="fr-FR" w:eastAsia="en-US" w:bidi="ar-SA"/>
      </w:rPr>
    </w:lvl>
  </w:abstractNum>
  <w:abstractNum w:abstractNumId="1" w15:restartNumberingAfterBreak="0">
    <w:nsid w:val="7FF93861"/>
    <w:multiLevelType w:val="hybridMultilevel"/>
    <w:tmpl w:val="5D26D9BC"/>
    <w:lvl w:ilvl="0" w:tplc="80CA248E">
      <w:numFmt w:val="bullet"/>
      <w:lvlText w:val="-"/>
      <w:lvlJc w:val="left"/>
      <w:pPr>
        <w:ind w:left="198" w:hanging="128"/>
      </w:pPr>
      <w:rPr>
        <w:rFonts w:ascii="Arial" w:eastAsia="Arial" w:hAnsi="Arial" w:cs="Arial" w:hint="default"/>
        <w:b/>
        <w:bCs/>
        <w:w w:val="101"/>
        <w:sz w:val="22"/>
        <w:szCs w:val="22"/>
        <w:lang w:val="fr-FR" w:eastAsia="en-US" w:bidi="ar-SA"/>
      </w:rPr>
    </w:lvl>
    <w:lvl w:ilvl="1" w:tplc="B36016B4">
      <w:numFmt w:val="bullet"/>
      <w:lvlText w:val="•"/>
      <w:lvlJc w:val="left"/>
      <w:pPr>
        <w:ind w:left="1171" w:hanging="128"/>
      </w:pPr>
      <w:rPr>
        <w:rFonts w:hint="default"/>
        <w:lang w:val="fr-FR" w:eastAsia="en-US" w:bidi="ar-SA"/>
      </w:rPr>
    </w:lvl>
    <w:lvl w:ilvl="2" w:tplc="4670C13C">
      <w:numFmt w:val="bullet"/>
      <w:lvlText w:val="•"/>
      <w:lvlJc w:val="left"/>
      <w:pPr>
        <w:ind w:left="2142" w:hanging="128"/>
      </w:pPr>
      <w:rPr>
        <w:rFonts w:hint="default"/>
        <w:lang w:val="fr-FR" w:eastAsia="en-US" w:bidi="ar-SA"/>
      </w:rPr>
    </w:lvl>
    <w:lvl w:ilvl="3" w:tplc="AFA6F220">
      <w:numFmt w:val="bullet"/>
      <w:lvlText w:val="•"/>
      <w:lvlJc w:val="left"/>
      <w:pPr>
        <w:ind w:left="3113" w:hanging="128"/>
      </w:pPr>
      <w:rPr>
        <w:rFonts w:hint="default"/>
        <w:lang w:val="fr-FR" w:eastAsia="en-US" w:bidi="ar-SA"/>
      </w:rPr>
    </w:lvl>
    <w:lvl w:ilvl="4" w:tplc="5D529512">
      <w:numFmt w:val="bullet"/>
      <w:lvlText w:val="•"/>
      <w:lvlJc w:val="left"/>
      <w:pPr>
        <w:ind w:left="4085" w:hanging="128"/>
      </w:pPr>
      <w:rPr>
        <w:rFonts w:hint="default"/>
        <w:lang w:val="fr-FR" w:eastAsia="en-US" w:bidi="ar-SA"/>
      </w:rPr>
    </w:lvl>
    <w:lvl w:ilvl="5" w:tplc="5A68AD1C">
      <w:numFmt w:val="bullet"/>
      <w:lvlText w:val="•"/>
      <w:lvlJc w:val="left"/>
      <w:pPr>
        <w:ind w:left="5056" w:hanging="128"/>
      </w:pPr>
      <w:rPr>
        <w:rFonts w:hint="default"/>
        <w:lang w:val="fr-FR" w:eastAsia="en-US" w:bidi="ar-SA"/>
      </w:rPr>
    </w:lvl>
    <w:lvl w:ilvl="6" w:tplc="81647188">
      <w:numFmt w:val="bullet"/>
      <w:lvlText w:val="•"/>
      <w:lvlJc w:val="left"/>
      <w:pPr>
        <w:ind w:left="6027" w:hanging="128"/>
      </w:pPr>
      <w:rPr>
        <w:rFonts w:hint="default"/>
        <w:lang w:val="fr-FR" w:eastAsia="en-US" w:bidi="ar-SA"/>
      </w:rPr>
    </w:lvl>
    <w:lvl w:ilvl="7" w:tplc="CDBC1D8C">
      <w:numFmt w:val="bullet"/>
      <w:lvlText w:val="•"/>
      <w:lvlJc w:val="left"/>
      <w:pPr>
        <w:ind w:left="6999" w:hanging="128"/>
      </w:pPr>
      <w:rPr>
        <w:rFonts w:hint="default"/>
        <w:lang w:val="fr-FR" w:eastAsia="en-US" w:bidi="ar-SA"/>
      </w:rPr>
    </w:lvl>
    <w:lvl w:ilvl="8" w:tplc="C7302A70">
      <w:numFmt w:val="bullet"/>
      <w:lvlText w:val="•"/>
      <w:lvlJc w:val="left"/>
      <w:pPr>
        <w:ind w:left="7970" w:hanging="128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1C"/>
    <w:rsid w:val="0080721C"/>
    <w:rsid w:val="00C63604"/>
    <w:rsid w:val="00D2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64A5"/>
  <w15:docId w15:val="{7FCB0463-F282-4D2B-98F5-114C8CE3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212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rents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Isabelle</cp:lastModifiedBy>
  <cp:revision>2</cp:revision>
  <dcterms:created xsi:type="dcterms:W3CDTF">2021-10-14T11:15:00Z</dcterms:created>
  <dcterms:modified xsi:type="dcterms:W3CDTF">2021-10-14T11:15:00Z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2021-10-14T00:00:00Z</vt:filetime>
  </property>
</Properties>
</file>