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02935" w14:textId="77777777" w:rsidR="00096F31" w:rsidRDefault="00096F31" w:rsidP="00096F31">
      <w:pPr>
        <w:rPr>
          <w:rFonts w:ascii="Calibri" w:hAnsi="Calibri" w:cs="Calibri"/>
          <w:color w:val="000000"/>
          <w:shd w:val="clear" w:color="auto" w:fill="FFFFFF"/>
          <w:lang w:val="en-GB"/>
        </w:rPr>
      </w:pPr>
      <w:r>
        <w:fldChar w:fldCharType="begin"/>
      </w:r>
      <w:r w:rsidRPr="00096F31">
        <w:rPr>
          <w:lang w:val="en-GB"/>
        </w:rPr>
        <w:instrText xml:space="preserve"> HYPERLINK "https://literariness.org/2021/05/27/american-lesbian-short-stories/" \t "_blank" </w:instrText>
      </w:r>
      <w:r>
        <w:fldChar w:fldCharType="separate"/>
      </w:r>
      <w:r w:rsidRPr="00096F31">
        <w:rPr>
          <w:rStyle w:val="Hipervnculo"/>
          <w:rFonts w:ascii="Calibri" w:hAnsi="Calibri" w:cs="Calibri"/>
          <w:bdr w:val="none" w:sz="0" w:space="0" w:color="auto" w:frame="1"/>
          <w:shd w:val="clear" w:color="auto" w:fill="FFFFFF"/>
          <w:lang w:val="en-GB"/>
        </w:rPr>
        <w:t>https://literariness.org/2021/05/27/american-lesbian-short-stories/</w:t>
      </w:r>
      <w:r>
        <w:fldChar w:fldCharType="end"/>
      </w:r>
      <w:r w:rsidRPr="00096F31">
        <w:rPr>
          <w:rFonts w:ascii="Calibri" w:hAnsi="Calibri" w:cs="Calibri"/>
          <w:color w:val="000000"/>
          <w:shd w:val="clear" w:color="auto" w:fill="FFFFFF"/>
          <w:lang w:val="en-GB"/>
        </w:rPr>
        <w:t> </w:t>
      </w:r>
    </w:p>
    <w:p w14:paraId="0A9A4370" w14:textId="6135721D" w:rsidR="00446CEA" w:rsidRDefault="00446CEA" w:rsidP="00096F31">
      <w:pPr>
        <w:rPr>
          <w:rFonts w:ascii="PT Serif" w:hAnsi="PT Serif"/>
          <w:color w:val="111111"/>
          <w:sz w:val="29"/>
          <w:szCs w:val="29"/>
          <w:shd w:val="clear" w:color="auto" w:fill="FFFFFF"/>
          <w:lang w:val="en-GB"/>
        </w:rPr>
      </w:pPr>
      <w:r>
        <w:rPr>
          <w:rFonts w:ascii="PT Serif" w:hAnsi="PT Serif"/>
          <w:color w:val="111111"/>
          <w:sz w:val="29"/>
          <w:szCs w:val="29"/>
          <w:shd w:val="clear" w:color="auto" w:fill="FFFFFF"/>
          <w:lang w:val="en-GB"/>
        </w:rPr>
        <w:t>T</w:t>
      </w:r>
      <w:r w:rsidRPr="00446CEA">
        <w:rPr>
          <w:rFonts w:ascii="PT Serif" w:hAnsi="PT Serif"/>
          <w:color w:val="111111"/>
          <w:sz w:val="29"/>
          <w:szCs w:val="29"/>
          <w:shd w:val="clear" w:color="auto" w:fill="FFFFFF"/>
          <w:lang w:val="en-GB"/>
        </w:rPr>
        <w:t>erms such as </w:t>
      </w:r>
      <w:r w:rsidRPr="00446CEA">
        <w:rPr>
          <w:rStyle w:val="nfasis"/>
          <w:rFonts w:ascii="PT Serif" w:hAnsi="PT Serif"/>
          <w:color w:val="111111"/>
          <w:sz w:val="29"/>
          <w:szCs w:val="29"/>
          <w:shd w:val="clear" w:color="auto" w:fill="FFFFFF"/>
          <w:lang w:val="en-GB"/>
        </w:rPr>
        <w:t>female friendships</w:t>
      </w:r>
      <w:r w:rsidRPr="00446CEA">
        <w:rPr>
          <w:rFonts w:ascii="PT Serif" w:hAnsi="PT Serif"/>
          <w:color w:val="111111"/>
          <w:sz w:val="29"/>
          <w:szCs w:val="29"/>
          <w:shd w:val="clear" w:color="auto" w:fill="FFFFFF"/>
          <w:lang w:val="en-GB"/>
        </w:rPr>
        <w:t> and </w:t>
      </w:r>
      <w:r w:rsidRPr="00446CEA">
        <w:rPr>
          <w:rStyle w:val="nfasis"/>
          <w:rFonts w:ascii="PT Serif" w:hAnsi="PT Serif"/>
          <w:color w:val="111111"/>
          <w:sz w:val="29"/>
          <w:szCs w:val="29"/>
          <w:shd w:val="clear" w:color="auto" w:fill="FFFFFF"/>
          <w:lang w:val="en-GB"/>
        </w:rPr>
        <w:t>Boston marriages,</w:t>
      </w:r>
      <w:r w:rsidRPr="00446CEA">
        <w:rPr>
          <w:rFonts w:ascii="PT Serif" w:hAnsi="PT Serif"/>
          <w:color w:val="111111"/>
          <w:sz w:val="29"/>
          <w:szCs w:val="29"/>
          <w:shd w:val="clear" w:color="auto" w:fill="FFFFFF"/>
          <w:lang w:val="en-GB"/>
        </w:rPr>
        <w:t xml:space="preserve"> both commonly used in the 19th century to describe intimacy between </w:t>
      </w:r>
      <w:proofErr w:type="gramStart"/>
      <w:r w:rsidRPr="00446CEA">
        <w:rPr>
          <w:rFonts w:ascii="PT Serif" w:hAnsi="PT Serif"/>
          <w:color w:val="111111"/>
          <w:sz w:val="29"/>
          <w:szCs w:val="29"/>
          <w:shd w:val="clear" w:color="auto" w:fill="FFFFFF"/>
          <w:lang w:val="en-GB"/>
        </w:rPr>
        <w:t>women</w:t>
      </w:r>
      <w:proofErr w:type="gramEnd"/>
    </w:p>
    <w:p w14:paraId="65284437" w14:textId="7D75FF76" w:rsidR="00402E3F" w:rsidRDefault="00402E3F" w:rsidP="00096F31">
      <w:pPr>
        <w:rPr>
          <w:rFonts w:ascii="PT Serif" w:hAnsi="PT Serif"/>
          <w:color w:val="111111"/>
          <w:sz w:val="29"/>
          <w:szCs w:val="29"/>
          <w:shd w:val="clear" w:color="auto" w:fill="FFFFFF"/>
        </w:rPr>
      </w:pPr>
      <w:proofErr w:type="spellStart"/>
      <w:r>
        <w:rPr>
          <w:rFonts w:ascii="PT Serif" w:hAnsi="PT Serif"/>
          <w:color w:val="111111"/>
          <w:sz w:val="29"/>
          <w:szCs w:val="29"/>
          <w:shd w:val="clear" w:color="auto" w:fill="FFFFFF"/>
        </w:rPr>
        <w:t>Adrienne</w:t>
      </w:r>
      <w:proofErr w:type="spellEnd"/>
      <w:r>
        <w:rPr>
          <w:rFonts w:ascii="PT Serif" w:hAnsi="PT Serif"/>
          <w:color w:val="111111"/>
          <w:sz w:val="29"/>
          <w:szCs w:val="29"/>
          <w:shd w:val="clear" w:color="auto" w:fill="FFFFFF"/>
        </w:rPr>
        <w:t xml:space="preserve"> </w:t>
      </w:r>
      <w:proofErr w:type="spellStart"/>
      <w:r>
        <w:rPr>
          <w:rFonts w:ascii="PT Serif" w:hAnsi="PT Serif"/>
          <w:color w:val="111111"/>
          <w:sz w:val="29"/>
          <w:szCs w:val="29"/>
          <w:shd w:val="clear" w:color="auto" w:fill="FFFFFF"/>
        </w:rPr>
        <w:t>Rich’s</w:t>
      </w:r>
      <w:proofErr w:type="spellEnd"/>
      <w:r>
        <w:rPr>
          <w:rFonts w:ascii="PT Serif" w:hAnsi="PT Serif"/>
          <w:color w:val="111111"/>
          <w:sz w:val="29"/>
          <w:szCs w:val="29"/>
          <w:shd w:val="clear" w:color="auto" w:fill="FFFFFF"/>
        </w:rPr>
        <w:t xml:space="preserve"> </w:t>
      </w:r>
      <w:proofErr w:type="spellStart"/>
      <w:r>
        <w:rPr>
          <w:rFonts w:ascii="PT Serif" w:hAnsi="PT Serif"/>
          <w:color w:val="111111"/>
          <w:sz w:val="29"/>
          <w:szCs w:val="29"/>
          <w:shd w:val="clear" w:color="auto" w:fill="FFFFFF"/>
        </w:rPr>
        <w:t>essay</w:t>
      </w:r>
      <w:proofErr w:type="spellEnd"/>
      <w:r>
        <w:rPr>
          <w:rFonts w:ascii="PT Serif" w:hAnsi="PT Serif"/>
          <w:color w:val="111111"/>
          <w:sz w:val="29"/>
          <w:szCs w:val="29"/>
          <w:shd w:val="clear" w:color="auto" w:fill="FFFFFF"/>
        </w:rPr>
        <w:t xml:space="preserve"> “</w:t>
      </w:r>
      <w:proofErr w:type="spellStart"/>
      <w:r>
        <w:rPr>
          <w:rFonts w:ascii="PT Serif" w:hAnsi="PT Serif"/>
          <w:color w:val="111111"/>
          <w:sz w:val="29"/>
          <w:szCs w:val="29"/>
          <w:shd w:val="clear" w:color="auto" w:fill="FFFFFF"/>
        </w:rPr>
        <w:t>Compulsory</w:t>
      </w:r>
      <w:proofErr w:type="spellEnd"/>
      <w:r>
        <w:rPr>
          <w:rFonts w:ascii="PT Serif" w:hAnsi="PT Serif"/>
          <w:color w:val="111111"/>
          <w:sz w:val="29"/>
          <w:szCs w:val="29"/>
          <w:shd w:val="clear" w:color="auto" w:fill="FFFFFF"/>
        </w:rPr>
        <w:t xml:space="preserve"> </w:t>
      </w:r>
      <w:proofErr w:type="spellStart"/>
      <w:r>
        <w:rPr>
          <w:rFonts w:ascii="PT Serif" w:hAnsi="PT Serif"/>
          <w:color w:val="111111"/>
          <w:sz w:val="29"/>
          <w:szCs w:val="29"/>
          <w:shd w:val="clear" w:color="auto" w:fill="FFFFFF"/>
        </w:rPr>
        <w:t>Heterosexuality</w:t>
      </w:r>
      <w:proofErr w:type="spellEnd"/>
      <w:r>
        <w:rPr>
          <w:rFonts w:ascii="PT Serif" w:hAnsi="PT Serif"/>
          <w:color w:val="111111"/>
          <w:sz w:val="29"/>
          <w:szCs w:val="29"/>
          <w:shd w:val="clear" w:color="auto" w:fill="FFFFFF"/>
        </w:rPr>
        <w:t xml:space="preserve"> and </w:t>
      </w:r>
      <w:proofErr w:type="spellStart"/>
      <w:r>
        <w:rPr>
          <w:rFonts w:ascii="PT Serif" w:hAnsi="PT Serif"/>
          <w:color w:val="111111"/>
          <w:sz w:val="29"/>
          <w:szCs w:val="29"/>
          <w:shd w:val="clear" w:color="auto" w:fill="FFFFFF"/>
        </w:rPr>
        <w:t>Lesbian</w:t>
      </w:r>
      <w:proofErr w:type="spellEnd"/>
      <w:r>
        <w:rPr>
          <w:rFonts w:ascii="PT Serif" w:hAnsi="PT Serif"/>
          <w:color w:val="111111"/>
          <w:sz w:val="29"/>
          <w:szCs w:val="29"/>
          <w:shd w:val="clear" w:color="auto" w:fill="FFFFFF"/>
        </w:rPr>
        <w:t xml:space="preserve"> </w:t>
      </w:r>
      <w:proofErr w:type="spellStart"/>
      <w:r>
        <w:rPr>
          <w:rFonts w:ascii="PT Serif" w:hAnsi="PT Serif"/>
          <w:color w:val="111111"/>
          <w:sz w:val="29"/>
          <w:szCs w:val="29"/>
          <w:shd w:val="clear" w:color="auto" w:fill="FFFFFF"/>
        </w:rPr>
        <w:t>Existence</w:t>
      </w:r>
      <w:proofErr w:type="spellEnd"/>
      <w:r>
        <w:rPr>
          <w:rFonts w:ascii="PT Serif" w:hAnsi="PT Serif"/>
          <w:color w:val="111111"/>
          <w:sz w:val="29"/>
          <w:szCs w:val="29"/>
          <w:shd w:val="clear" w:color="auto" w:fill="FFFFFF"/>
        </w:rPr>
        <w:t>”</w:t>
      </w:r>
    </w:p>
    <w:p w14:paraId="5FE50932" w14:textId="18AEE9F1" w:rsidR="00F33871" w:rsidRPr="00F33871" w:rsidRDefault="00F33871" w:rsidP="00096F31">
      <w:pPr>
        <w:rPr>
          <w:lang w:val="en-GB"/>
        </w:rPr>
      </w:pPr>
      <w:r w:rsidRPr="00F33871">
        <w:rPr>
          <w:rFonts w:ascii="PT Serif" w:hAnsi="PT Serif"/>
          <w:color w:val="111111"/>
          <w:sz w:val="29"/>
          <w:szCs w:val="29"/>
          <w:shd w:val="clear" w:color="auto" w:fill="FFFFFF"/>
          <w:lang w:val="en-GB"/>
        </w:rPr>
        <w:t xml:space="preserve">In 1970 the New York group </w:t>
      </w:r>
      <w:proofErr w:type="spellStart"/>
      <w:r w:rsidRPr="00F33871">
        <w:rPr>
          <w:rFonts w:ascii="PT Serif" w:hAnsi="PT Serif"/>
          <w:color w:val="111111"/>
          <w:sz w:val="29"/>
          <w:szCs w:val="29"/>
          <w:shd w:val="clear" w:color="auto" w:fill="FFFFFF"/>
          <w:lang w:val="en-GB"/>
        </w:rPr>
        <w:t>Radicalesbians</w:t>
      </w:r>
      <w:proofErr w:type="spellEnd"/>
      <w:r w:rsidRPr="00F33871">
        <w:rPr>
          <w:rFonts w:ascii="PT Serif" w:hAnsi="PT Serif"/>
          <w:color w:val="111111"/>
          <w:sz w:val="29"/>
          <w:szCs w:val="29"/>
          <w:shd w:val="clear" w:color="auto" w:fill="FFFFFF"/>
          <w:lang w:val="en-GB"/>
        </w:rPr>
        <w:t xml:space="preserve"> distributed a pamphlet that began with the question “What is a lesbian?” As answer they wrote, in part: “A lesbian is the rage of all women condensed to the point of explosion</w:t>
      </w:r>
      <w:proofErr w:type="gramStart"/>
      <w:r w:rsidRPr="00F33871">
        <w:rPr>
          <w:rFonts w:ascii="PT Serif" w:hAnsi="PT Serif"/>
          <w:color w:val="111111"/>
          <w:sz w:val="29"/>
          <w:szCs w:val="29"/>
          <w:shd w:val="clear" w:color="auto" w:fill="FFFFFF"/>
          <w:lang w:val="en-GB"/>
        </w:rPr>
        <w:t>. . . .</w:t>
      </w:r>
      <w:proofErr w:type="gramEnd"/>
      <w:r w:rsidRPr="00F33871">
        <w:rPr>
          <w:rFonts w:ascii="PT Serif" w:hAnsi="PT Serif"/>
          <w:color w:val="111111"/>
          <w:sz w:val="29"/>
          <w:szCs w:val="29"/>
          <w:shd w:val="clear" w:color="auto" w:fill="FFFFFF"/>
          <w:lang w:val="en-GB"/>
        </w:rPr>
        <w:t xml:space="preserve"> She may not be fully conscious of the political implications of what for her began as personal necessity, but on the same level she has not been able to accept the limitations and oppression laid on her by the most basic role of her society—the female role.” </w:t>
      </w:r>
    </w:p>
    <w:p w14:paraId="3213D5CE" w14:textId="77777777" w:rsidR="006E62D0" w:rsidRPr="00446CEA" w:rsidRDefault="006E62D0">
      <w:pPr>
        <w:rPr>
          <w:rStyle w:val="Hipervnculo"/>
          <w:lang w:val="en-GB"/>
        </w:rPr>
      </w:pPr>
    </w:p>
    <w:p w14:paraId="5565D376" w14:textId="77777777" w:rsidR="006E62D0" w:rsidRPr="00446CEA" w:rsidRDefault="006E62D0">
      <w:pPr>
        <w:rPr>
          <w:rStyle w:val="Hipervnculo"/>
          <w:lang w:val="en-GB"/>
        </w:rPr>
      </w:pPr>
    </w:p>
    <w:p w14:paraId="272881E6" w14:textId="77777777" w:rsidR="006E62D0" w:rsidRPr="00446CEA" w:rsidRDefault="006E62D0">
      <w:pPr>
        <w:rPr>
          <w:rStyle w:val="Hipervnculo"/>
          <w:lang w:val="en-GB"/>
        </w:rPr>
      </w:pPr>
    </w:p>
    <w:p w14:paraId="62603846" w14:textId="77777777" w:rsidR="006E62D0" w:rsidRPr="00446CEA" w:rsidRDefault="006E62D0">
      <w:pPr>
        <w:rPr>
          <w:rStyle w:val="Hipervnculo"/>
          <w:lang w:val="en-GB"/>
        </w:rPr>
      </w:pPr>
    </w:p>
    <w:p w14:paraId="7914D396" w14:textId="77777777" w:rsidR="006E62D0" w:rsidRPr="00446CEA" w:rsidRDefault="006E62D0">
      <w:pPr>
        <w:rPr>
          <w:rStyle w:val="Hipervnculo"/>
          <w:lang w:val="en-GB"/>
        </w:rPr>
      </w:pPr>
    </w:p>
    <w:p w14:paraId="1A8C4CBA" w14:textId="77777777" w:rsidR="006E62D0" w:rsidRPr="00446CEA" w:rsidRDefault="006E62D0">
      <w:pPr>
        <w:rPr>
          <w:rStyle w:val="Hipervnculo"/>
          <w:lang w:val="en-GB"/>
        </w:rPr>
      </w:pPr>
    </w:p>
    <w:p w14:paraId="1E045AFE" w14:textId="77777777" w:rsidR="006E62D0" w:rsidRPr="00446CEA" w:rsidRDefault="006E62D0">
      <w:pPr>
        <w:rPr>
          <w:rStyle w:val="Hipervnculo"/>
          <w:lang w:val="en-GB"/>
        </w:rPr>
      </w:pPr>
    </w:p>
    <w:p w14:paraId="74E76738" w14:textId="77777777" w:rsidR="006E62D0" w:rsidRPr="00446CEA" w:rsidRDefault="006E62D0">
      <w:pPr>
        <w:rPr>
          <w:rStyle w:val="Hipervnculo"/>
          <w:lang w:val="en-GB"/>
        </w:rPr>
      </w:pPr>
    </w:p>
    <w:p w14:paraId="16C23379" w14:textId="77777777" w:rsidR="006E62D0" w:rsidRPr="00446CEA" w:rsidRDefault="006E62D0">
      <w:pPr>
        <w:rPr>
          <w:rStyle w:val="Hipervnculo"/>
          <w:lang w:val="en-GB"/>
        </w:rPr>
      </w:pPr>
    </w:p>
    <w:p w14:paraId="52D96DF6" w14:textId="77777777" w:rsidR="006E62D0" w:rsidRPr="00446CEA" w:rsidRDefault="006E62D0">
      <w:pPr>
        <w:rPr>
          <w:rStyle w:val="Hipervnculo"/>
          <w:lang w:val="en-GB"/>
        </w:rPr>
      </w:pPr>
    </w:p>
    <w:p w14:paraId="45E1EBDF" w14:textId="77777777" w:rsidR="006E62D0" w:rsidRPr="00446CEA" w:rsidRDefault="006E62D0">
      <w:pPr>
        <w:rPr>
          <w:rStyle w:val="Hipervnculo"/>
          <w:lang w:val="en-GB"/>
        </w:rPr>
      </w:pPr>
    </w:p>
    <w:p w14:paraId="5459D1DF" w14:textId="77777777" w:rsidR="006E62D0" w:rsidRPr="00446CEA" w:rsidRDefault="006E62D0">
      <w:pPr>
        <w:rPr>
          <w:rStyle w:val="Hipervnculo"/>
          <w:lang w:val="en-GB"/>
        </w:rPr>
      </w:pPr>
    </w:p>
    <w:p w14:paraId="51620FD1" w14:textId="77777777" w:rsidR="006E62D0" w:rsidRPr="00446CEA" w:rsidRDefault="006E62D0">
      <w:pPr>
        <w:rPr>
          <w:rStyle w:val="Hipervnculo"/>
          <w:lang w:val="en-GB"/>
        </w:rPr>
      </w:pPr>
    </w:p>
    <w:p w14:paraId="04411B89" w14:textId="77777777" w:rsidR="006E62D0" w:rsidRPr="00446CEA" w:rsidRDefault="006E62D0">
      <w:pPr>
        <w:rPr>
          <w:rStyle w:val="Hipervnculo"/>
          <w:lang w:val="en-GB"/>
        </w:rPr>
      </w:pPr>
    </w:p>
    <w:p w14:paraId="0170DDC7" w14:textId="77777777" w:rsidR="006E62D0" w:rsidRPr="00446CEA" w:rsidRDefault="006E62D0">
      <w:pPr>
        <w:rPr>
          <w:rStyle w:val="Hipervnculo"/>
          <w:lang w:val="en-GB"/>
        </w:rPr>
      </w:pPr>
    </w:p>
    <w:p w14:paraId="71232E20" w14:textId="77777777" w:rsidR="006E62D0" w:rsidRPr="00446CEA" w:rsidRDefault="006E62D0">
      <w:pPr>
        <w:rPr>
          <w:rStyle w:val="Hipervnculo"/>
          <w:lang w:val="en-GB"/>
        </w:rPr>
      </w:pPr>
    </w:p>
    <w:p w14:paraId="33FE77E7" w14:textId="77777777" w:rsidR="006E62D0" w:rsidRPr="00096F31" w:rsidRDefault="006E62D0">
      <w:pPr>
        <w:rPr>
          <w:lang w:val="en-GB"/>
        </w:rPr>
      </w:pPr>
    </w:p>
    <w:tbl>
      <w:tblPr>
        <w:tblStyle w:val="Tablaconcuadrcula"/>
        <w:tblW w:w="0" w:type="auto"/>
        <w:tblLook w:val="04A0" w:firstRow="1" w:lastRow="0" w:firstColumn="1" w:lastColumn="0" w:noHBand="0" w:noVBand="1"/>
      </w:tblPr>
      <w:tblGrid>
        <w:gridCol w:w="1254"/>
        <w:gridCol w:w="1223"/>
        <w:gridCol w:w="1208"/>
        <w:gridCol w:w="1183"/>
        <w:gridCol w:w="1776"/>
        <w:gridCol w:w="1737"/>
        <w:gridCol w:w="1465"/>
        <w:gridCol w:w="1196"/>
        <w:gridCol w:w="1864"/>
        <w:gridCol w:w="1088"/>
      </w:tblGrid>
      <w:tr w:rsidR="00D761C7" w14:paraId="2035A01C" w14:textId="776C0514" w:rsidTr="00D761C7">
        <w:tc>
          <w:tcPr>
            <w:tcW w:w="1254" w:type="dxa"/>
          </w:tcPr>
          <w:p w14:paraId="190801E7" w14:textId="1A7A2B28" w:rsidR="007A40FD" w:rsidRDefault="007A40FD">
            <w:pPr>
              <w:rPr>
                <w:lang w:val="en-GB"/>
              </w:rPr>
            </w:pPr>
            <w:r>
              <w:rPr>
                <w:lang w:val="en-GB"/>
              </w:rPr>
              <w:t>1880s</w:t>
            </w:r>
          </w:p>
        </w:tc>
        <w:tc>
          <w:tcPr>
            <w:tcW w:w="1223" w:type="dxa"/>
          </w:tcPr>
          <w:p w14:paraId="4B26A8B4" w14:textId="2F2C276A" w:rsidR="007A40FD" w:rsidRDefault="007A40FD">
            <w:pPr>
              <w:rPr>
                <w:lang w:val="en-GB"/>
              </w:rPr>
            </w:pPr>
            <w:r>
              <w:rPr>
                <w:lang w:val="en-GB"/>
              </w:rPr>
              <w:t>1890s</w:t>
            </w:r>
          </w:p>
        </w:tc>
        <w:tc>
          <w:tcPr>
            <w:tcW w:w="1208" w:type="dxa"/>
          </w:tcPr>
          <w:p w14:paraId="7BD2C883" w14:textId="32CB9AE5" w:rsidR="007A40FD" w:rsidRDefault="007A40FD">
            <w:pPr>
              <w:rPr>
                <w:lang w:val="en-GB"/>
              </w:rPr>
            </w:pPr>
            <w:r>
              <w:rPr>
                <w:lang w:val="en-GB"/>
              </w:rPr>
              <w:t>1900s</w:t>
            </w:r>
          </w:p>
        </w:tc>
        <w:tc>
          <w:tcPr>
            <w:tcW w:w="1183" w:type="dxa"/>
          </w:tcPr>
          <w:p w14:paraId="172CED63" w14:textId="53D3B4FA" w:rsidR="007A40FD" w:rsidRDefault="007A40FD">
            <w:pPr>
              <w:rPr>
                <w:lang w:val="en-GB"/>
              </w:rPr>
            </w:pPr>
            <w:r>
              <w:rPr>
                <w:lang w:val="en-GB"/>
              </w:rPr>
              <w:t>1910s</w:t>
            </w:r>
          </w:p>
        </w:tc>
        <w:tc>
          <w:tcPr>
            <w:tcW w:w="2073" w:type="dxa"/>
          </w:tcPr>
          <w:p w14:paraId="65AE91D1" w14:textId="340AA371" w:rsidR="007A40FD" w:rsidRDefault="007A40FD">
            <w:pPr>
              <w:rPr>
                <w:lang w:val="en-GB"/>
              </w:rPr>
            </w:pPr>
            <w:r>
              <w:rPr>
                <w:lang w:val="en-GB"/>
              </w:rPr>
              <w:t>1920s</w:t>
            </w:r>
          </w:p>
        </w:tc>
        <w:tc>
          <w:tcPr>
            <w:tcW w:w="1028" w:type="dxa"/>
          </w:tcPr>
          <w:p w14:paraId="751CDD1C" w14:textId="2683D45F" w:rsidR="007A40FD" w:rsidRDefault="007A40FD">
            <w:pPr>
              <w:rPr>
                <w:lang w:val="en-GB"/>
              </w:rPr>
            </w:pPr>
            <w:r>
              <w:rPr>
                <w:lang w:val="en-GB"/>
              </w:rPr>
              <w:t>1930s</w:t>
            </w:r>
          </w:p>
        </w:tc>
        <w:tc>
          <w:tcPr>
            <w:tcW w:w="1631" w:type="dxa"/>
          </w:tcPr>
          <w:p w14:paraId="747615A8" w14:textId="3E4C5A55" w:rsidR="007A40FD" w:rsidRDefault="007A40FD">
            <w:pPr>
              <w:rPr>
                <w:lang w:val="en-GB"/>
              </w:rPr>
            </w:pPr>
            <w:r>
              <w:rPr>
                <w:lang w:val="en-GB"/>
              </w:rPr>
              <w:t>1950s</w:t>
            </w:r>
          </w:p>
        </w:tc>
        <w:tc>
          <w:tcPr>
            <w:tcW w:w="1196" w:type="dxa"/>
          </w:tcPr>
          <w:p w14:paraId="7B17DDF2" w14:textId="10F0799C" w:rsidR="007A40FD" w:rsidRDefault="007A40FD">
            <w:pPr>
              <w:rPr>
                <w:lang w:val="en-GB"/>
              </w:rPr>
            </w:pPr>
            <w:r>
              <w:rPr>
                <w:lang w:val="en-GB"/>
              </w:rPr>
              <w:t>1970s</w:t>
            </w:r>
          </w:p>
        </w:tc>
        <w:tc>
          <w:tcPr>
            <w:tcW w:w="2110" w:type="dxa"/>
          </w:tcPr>
          <w:p w14:paraId="46F1A1EC" w14:textId="1EF6BF5C" w:rsidR="007A40FD" w:rsidRDefault="007A40FD">
            <w:pPr>
              <w:rPr>
                <w:lang w:val="en-GB"/>
              </w:rPr>
            </w:pPr>
            <w:r>
              <w:rPr>
                <w:lang w:val="en-GB"/>
              </w:rPr>
              <w:t>1980s</w:t>
            </w:r>
          </w:p>
        </w:tc>
        <w:tc>
          <w:tcPr>
            <w:tcW w:w="1088" w:type="dxa"/>
          </w:tcPr>
          <w:p w14:paraId="060BDB1D" w14:textId="648672FD" w:rsidR="007A40FD" w:rsidRDefault="007A40FD">
            <w:pPr>
              <w:rPr>
                <w:lang w:val="en-GB"/>
              </w:rPr>
            </w:pPr>
            <w:r>
              <w:rPr>
                <w:lang w:val="en-GB"/>
              </w:rPr>
              <w:t xml:space="preserve">1990s </w:t>
            </w:r>
          </w:p>
        </w:tc>
      </w:tr>
      <w:tr w:rsidR="00D761C7" w:rsidRPr="00446CEA" w14:paraId="5980FC3D" w14:textId="64C8F4A0" w:rsidTr="00D761C7">
        <w:tc>
          <w:tcPr>
            <w:tcW w:w="1254" w:type="dxa"/>
          </w:tcPr>
          <w:p w14:paraId="732BDBC6" w14:textId="5999ECD9" w:rsidR="007A40FD" w:rsidRPr="0062634C" w:rsidRDefault="007A40FD">
            <w:pPr>
              <w:rPr>
                <w:rFonts w:cstheme="minorHAnsi"/>
                <w:b/>
                <w:bCs/>
                <w:color w:val="111111"/>
                <w:sz w:val="24"/>
                <w:szCs w:val="24"/>
                <w:shd w:val="clear" w:color="auto" w:fill="FFFFFF"/>
                <w:lang w:val="en-GB"/>
              </w:rPr>
            </w:pPr>
            <w:r w:rsidRPr="0062634C">
              <w:rPr>
                <w:rFonts w:cstheme="minorHAnsi"/>
                <w:b/>
                <w:bCs/>
                <w:color w:val="ED7D31" w:themeColor="accent2"/>
                <w:sz w:val="24"/>
                <w:szCs w:val="24"/>
                <w:shd w:val="clear" w:color="auto" w:fill="FFFFFF"/>
                <w:lang w:val="en-GB"/>
              </w:rPr>
              <w:t>Mary E. Wilkins Freeman’s “Two Friends” (1887)</w:t>
            </w:r>
          </w:p>
        </w:tc>
        <w:tc>
          <w:tcPr>
            <w:tcW w:w="1223" w:type="dxa"/>
          </w:tcPr>
          <w:p w14:paraId="799F5FC4" w14:textId="7312482B" w:rsidR="007A40FD" w:rsidRPr="00FD271C" w:rsidRDefault="007A40FD">
            <w:pPr>
              <w:rPr>
                <w:rFonts w:ascii="PT Serif" w:hAnsi="PT Serif"/>
                <w:color w:val="111111"/>
                <w:sz w:val="29"/>
                <w:szCs w:val="29"/>
                <w:shd w:val="clear" w:color="auto" w:fill="FFFFFF"/>
                <w:lang w:val="en-GB"/>
              </w:rPr>
            </w:pPr>
            <w:r w:rsidRPr="0062634C">
              <w:rPr>
                <w:rFonts w:cstheme="minorHAnsi"/>
                <w:b/>
                <w:bCs/>
                <w:color w:val="ED7D31" w:themeColor="accent2"/>
                <w:sz w:val="24"/>
                <w:szCs w:val="24"/>
                <w:shd w:val="clear" w:color="auto" w:fill="FFFFFF"/>
                <w:lang w:val="en-GB"/>
              </w:rPr>
              <w:t>Sarah Orne Jewett’s “Martha’s Lady” (1897)</w:t>
            </w:r>
          </w:p>
        </w:tc>
        <w:tc>
          <w:tcPr>
            <w:tcW w:w="1208" w:type="dxa"/>
          </w:tcPr>
          <w:p w14:paraId="0A6F2659" w14:textId="0221F4CA" w:rsidR="007A40FD" w:rsidRPr="002C24A7" w:rsidRDefault="007A40FD">
            <w:pPr>
              <w:rPr>
                <w:rFonts w:cstheme="minorHAnsi"/>
                <w:b/>
                <w:bCs/>
                <w:i/>
                <w:iCs/>
                <w:color w:val="FF3399"/>
                <w:sz w:val="24"/>
                <w:szCs w:val="24"/>
                <w:shd w:val="clear" w:color="auto" w:fill="FFFFFF"/>
                <w:lang w:val="en-GB"/>
              </w:rPr>
            </w:pPr>
            <w:r w:rsidRPr="002C24A7">
              <w:rPr>
                <w:rFonts w:cstheme="minorHAnsi"/>
                <w:b/>
                <w:bCs/>
                <w:color w:val="FF3399"/>
                <w:sz w:val="24"/>
                <w:szCs w:val="24"/>
                <w:shd w:val="clear" w:color="auto" w:fill="FFFFFF"/>
                <w:lang w:val="en-GB"/>
              </w:rPr>
              <w:t xml:space="preserve">Josephine Dodge </w:t>
            </w:r>
            <w:proofErr w:type="spellStart"/>
            <w:r w:rsidRPr="002C24A7">
              <w:rPr>
                <w:rFonts w:cstheme="minorHAnsi"/>
                <w:b/>
                <w:bCs/>
                <w:color w:val="FF3399"/>
                <w:sz w:val="24"/>
                <w:szCs w:val="24"/>
                <w:shd w:val="clear" w:color="auto" w:fill="FFFFFF"/>
                <w:lang w:val="en-GB"/>
              </w:rPr>
              <w:t>Daskam’s</w:t>
            </w:r>
            <w:proofErr w:type="spellEnd"/>
            <w:r w:rsidRPr="002C24A7">
              <w:rPr>
                <w:rFonts w:cstheme="minorHAnsi"/>
                <w:b/>
                <w:bCs/>
                <w:color w:val="FF3399"/>
                <w:sz w:val="24"/>
                <w:szCs w:val="24"/>
                <w:shd w:val="clear" w:color="auto" w:fill="FFFFFF"/>
                <w:lang w:val="en-GB"/>
              </w:rPr>
              <w:t xml:space="preserve"> collection of Smith College Stories (1900)</w:t>
            </w:r>
            <w:r w:rsidRPr="002C24A7">
              <w:rPr>
                <w:rFonts w:ascii="PT Serif" w:hAnsi="PT Serif"/>
                <w:color w:val="111111"/>
                <w:sz w:val="29"/>
                <w:szCs w:val="29"/>
                <w:shd w:val="clear" w:color="auto" w:fill="FFFFFF"/>
                <w:lang w:val="en-GB"/>
              </w:rPr>
              <w:t> </w:t>
            </w:r>
          </w:p>
        </w:tc>
        <w:tc>
          <w:tcPr>
            <w:tcW w:w="1183" w:type="dxa"/>
          </w:tcPr>
          <w:p w14:paraId="105627B3" w14:textId="1BBBB082" w:rsidR="007A40FD" w:rsidRPr="000333FC" w:rsidRDefault="007A40FD">
            <w:pPr>
              <w:rPr>
                <w:rFonts w:cstheme="minorHAnsi"/>
                <w:b/>
                <w:bCs/>
                <w:i/>
                <w:iCs/>
                <w:color w:val="ED7D31" w:themeColor="accent2"/>
                <w:sz w:val="24"/>
                <w:szCs w:val="24"/>
                <w:shd w:val="clear" w:color="auto" w:fill="FFFFFF"/>
                <w:lang w:val="en-GB"/>
              </w:rPr>
            </w:pPr>
            <w:r w:rsidRPr="000333FC">
              <w:rPr>
                <w:rFonts w:cstheme="minorHAnsi"/>
                <w:b/>
                <w:bCs/>
                <w:i/>
                <w:iCs/>
                <w:color w:val="FF3399"/>
                <w:sz w:val="24"/>
                <w:szCs w:val="24"/>
                <w:shd w:val="clear" w:color="auto" w:fill="FFFFFF"/>
                <w:lang w:val="en-GB"/>
              </w:rPr>
              <w:t xml:space="preserve">Catherine </w:t>
            </w:r>
            <w:proofErr w:type="spellStart"/>
            <w:r w:rsidRPr="000333FC">
              <w:rPr>
                <w:rFonts w:cstheme="minorHAnsi"/>
                <w:b/>
                <w:bCs/>
                <w:i/>
                <w:iCs/>
                <w:color w:val="FF3399"/>
                <w:sz w:val="24"/>
                <w:szCs w:val="24"/>
                <w:shd w:val="clear" w:color="auto" w:fill="FFFFFF"/>
                <w:lang w:val="en-GB"/>
              </w:rPr>
              <w:t>Wells’s</w:t>
            </w:r>
            <w:proofErr w:type="spellEnd"/>
            <w:r w:rsidRPr="000333FC">
              <w:rPr>
                <w:rFonts w:cstheme="minorHAnsi"/>
                <w:b/>
                <w:bCs/>
                <w:i/>
                <w:iCs/>
                <w:color w:val="FF3399"/>
                <w:sz w:val="24"/>
                <w:szCs w:val="24"/>
                <w:shd w:val="clear" w:color="auto" w:fill="FFFFFF"/>
                <w:lang w:val="en-GB"/>
              </w:rPr>
              <w:t xml:space="preserve"> “The Beautiful House” (1912)</w:t>
            </w:r>
          </w:p>
        </w:tc>
        <w:tc>
          <w:tcPr>
            <w:tcW w:w="2073" w:type="dxa"/>
          </w:tcPr>
          <w:p w14:paraId="444C1682" w14:textId="5C42F8F8" w:rsidR="007A40FD" w:rsidRPr="00B76DFD" w:rsidRDefault="007A40FD">
            <w:pPr>
              <w:rPr>
                <w:lang w:val="en-GB"/>
              </w:rPr>
            </w:pPr>
            <w:r w:rsidRPr="00FC3EAF">
              <w:rPr>
                <w:rFonts w:cstheme="minorHAnsi"/>
                <w:b/>
                <w:bCs/>
                <w:color w:val="ED7D31" w:themeColor="accent2"/>
                <w:sz w:val="24"/>
                <w:szCs w:val="24"/>
                <w:shd w:val="clear" w:color="auto" w:fill="FFFFFF"/>
                <w:lang w:val="en-GB"/>
              </w:rPr>
              <w:t xml:space="preserve">Gertrude Steins “Miss Furr and Miss </w:t>
            </w:r>
            <w:proofErr w:type="spellStart"/>
            <w:r w:rsidRPr="00FC3EAF">
              <w:rPr>
                <w:rFonts w:cstheme="minorHAnsi"/>
                <w:b/>
                <w:bCs/>
                <w:color w:val="ED7D31" w:themeColor="accent2"/>
                <w:sz w:val="24"/>
                <w:szCs w:val="24"/>
                <w:shd w:val="clear" w:color="auto" w:fill="FFFFFF"/>
                <w:lang w:val="en-GB"/>
              </w:rPr>
              <w:t>Skeene</w:t>
            </w:r>
            <w:proofErr w:type="spellEnd"/>
            <w:r w:rsidRPr="00FC3EAF">
              <w:rPr>
                <w:rFonts w:cstheme="minorHAnsi"/>
                <w:b/>
                <w:bCs/>
                <w:color w:val="ED7D31" w:themeColor="accent2"/>
                <w:sz w:val="24"/>
                <w:szCs w:val="24"/>
                <w:shd w:val="clear" w:color="auto" w:fill="FFFFFF"/>
                <w:lang w:val="en-GB"/>
              </w:rPr>
              <w:t>” (1923)</w:t>
            </w:r>
          </w:p>
        </w:tc>
        <w:tc>
          <w:tcPr>
            <w:tcW w:w="1028" w:type="dxa"/>
          </w:tcPr>
          <w:p w14:paraId="360845E1" w14:textId="0BDBD534" w:rsidR="007A40FD" w:rsidRPr="00BD164A" w:rsidRDefault="007A40FD">
            <w:pPr>
              <w:rPr>
                <w:lang w:val="en-GB"/>
              </w:rPr>
            </w:pPr>
            <w:r w:rsidRPr="00BD164A">
              <w:rPr>
                <w:rFonts w:cstheme="minorHAnsi"/>
                <w:b/>
                <w:bCs/>
                <w:color w:val="FF0000"/>
                <w:sz w:val="24"/>
                <w:szCs w:val="24"/>
                <w:shd w:val="clear" w:color="auto" w:fill="FFFFFF"/>
                <w:lang w:val="en-GB"/>
              </w:rPr>
              <w:t xml:space="preserve">Sherwood Anderson’s </w:t>
            </w:r>
            <w:r w:rsidRPr="00BD164A">
              <w:rPr>
                <w:rFonts w:cstheme="minorHAnsi"/>
                <w:b/>
                <w:bCs/>
                <w:color w:val="FF3399"/>
                <w:sz w:val="24"/>
                <w:szCs w:val="24"/>
                <w:shd w:val="clear" w:color="auto" w:fill="FFFFFF"/>
                <w:lang w:val="en-GB"/>
              </w:rPr>
              <w:t>“That Sophistication” (1933)</w:t>
            </w:r>
          </w:p>
        </w:tc>
        <w:tc>
          <w:tcPr>
            <w:tcW w:w="1631" w:type="dxa"/>
          </w:tcPr>
          <w:p w14:paraId="3EB49E9A" w14:textId="3C114750" w:rsidR="007A40FD" w:rsidRPr="007A40FD" w:rsidRDefault="007A40FD" w:rsidP="007A40FD">
            <w:pPr>
              <w:rPr>
                <w:rFonts w:cstheme="minorHAnsi"/>
                <w:b/>
                <w:bCs/>
                <w:color w:val="FF3399"/>
                <w:sz w:val="24"/>
                <w:szCs w:val="24"/>
                <w:highlight w:val="cyan"/>
                <w:shd w:val="clear" w:color="auto" w:fill="FFFFFF"/>
                <w:lang w:val="en-GB"/>
              </w:rPr>
            </w:pPr>
            <w:r w:rsidRPr="007A40FD">
              <w:rPr>
                <w:rFonts w:cstheme="minorHAnsi"/>
                <w:b/>
                <w:bCs/>
                <w:color w:val="FF3399"/>
                <w:sz w:val="24"/>
                <w:szCs w:val="24"/>
                <w:highlight w:val="cyan"/>
                <w:shd w:val="clear" w:color="auto" w:fill="FFFFFF"/>
                <w:lang w:val="en-GB"/>
              </w:rPr>
              <w:t>“</w:t>
            </w:r>
            <w:hyperlink r:id="rId6" w:tgtFrame="_blank" w:history="1">
              <w:r w:rsidRPr="007A40FD">
                <w:rPr>
                  <w:rFonts w:cstheme="minorHAnsi"/>
                  <w:b/>
                  <w:bCs/>
                  <w:color w:val="FF3399"/>
                  <w:sz w:val="24"/>
                  <w:szCs w:val="24"/>
                  <w:highlight w:val="cyan"/>
                  <w:shd w:val="clear" w:color="auto" w:fill="FFFFFF"/>
                  <w:lang w:val="en-GB"/>
                </w:rPr>
                <w:t>The Price of Salt</w:t>
              </w:r>
            </w:hyperlink>
            <w:r w:rsidRPr="007A40FD">
              <w:rPr>
                <w:rFonts w:cstheme="minorHAnsi"/>
                <w:b/>
                <w:bCs/>
                <w:color w:val="FF3399"/>
                <w:sz w:val="24"/>
                <w:szCs w:val="24"/>
                <w:highlight w:val="cyan"/>
                <w:shd w:val="clear" w:color="auto" w:fill="FFFFFF"/>
                <w:lang w:val="en-GB"/>
              </w:rPr>
              <w:t>” Patricia Highsmith (1952)</w:t>
            </w:r>
          </w:p>
          <w:p w14:paraId="3B55D92E" w14:textId="77777777" w:rsidR="007A40FD" w:rsidRPr="00151579" w:rsidRDefault="007A40FD">
            <w:pPr>
              <w:rPr>
                <w:rFonts w:cstheme="minorHAnsi"/>
                <w:b/>
                <w:bCs/>
                <w:i/>
                <w:iCs/>
                <w:color w:val="ED7D31" w:themeColor="accent2"/>
                <w:sz w:val="24"/>
                <w:szCs w:val="24"/>
                <w:shd w:val="clear" w:color="auto" w:fill="FFFFFF"/>
                <w:lang w:val="en-GB"/>
              </w:rPr>
            </w:pPr>
          </w:p>
        </w:tc>
        <w:tc>
          <w:tcPr>
            <w:tcW w:w="1196" w:type="dxa"/>
          </w:tcPr>
          <w:p w14:paraId="0D51C408" w14:textId="4CBE4B26" w:rsidR="007A40FD" w:rsidRPr="00486F52" w:rsidRDefault="007A40FD">
            <w:pPr>
              <w:rPr>
                <w:rFonts w:cstheme="minorHAnsi"/>
                <w:b/>
                <w:bCs/>
                <w:color w:val="FF3399"/>
                <w:sz w:val="24"/>
                <w:szCs w:val="24"/>
                <w:shd w:val="clear" w:color="auto" w:fill="FFFFFF"/>
                <w:lang w:val="en-GB"/>
              </w:rPr>
            </w:pPr>
            <w:r w:rsidRPr="00151579">
              <w:rPr>
                <w:rFonts w:cstheme="minorHAnsi"/>
                <w:b/>
                <w:bCs/>
                <w:i/>
                <w:iCs/>
                <w:color w:val="ED7D31" w:themeColor="accent2"/>
                <w:sz w:val="24"/>
                <w:szCs w:val="24"/>
                <w:shd w:val="clear" w:color="auto" w:fill="FFFFFF"/>
                <w:lang w:val="en-GB"/>
              </w:rPr>
              <w:t>Joanna Russ, in “When It Changed” (1972)</w:t>
            </w:r>
          </w:p>
        </w:tc>
        <w:tc>
          <w:tcPr>
            <w:tcW w:w="2110" w:type="dxa"/>
          </w:tcPr>
          <w:p w14:paraId="74AD7132" w14:textId="616225D2" w:rsidR="007A40FD" w:rsidRPr="00BD164A" w:rsidRDefault="007A40FD">
            <w:pPr>
              <w:rPr>
                <w:rFonts w:cstheme="minorHAnsi"/>
                <w:b/>
                <w:bCs/>
                <w:color w:val="FF0000"/>
                <w:sz w:val="24"/>
                <w:szCs w:val="24"/>
                <w:shd w:val="clear" w:color="auto" w:fill="FFFFFF"/>
                <w:lang w:val="en-GB"/>
              </w:rPr>
            </w:pPr>
            <w:r w:rsidRPr="001129D5">
              <w:rPr>
                <w:rFonts w:cstheme="minorHAnsi"/>
                <w:b/>
                <w:bCs/>
                <w:color w:val="FF3399"/>
                <w:sz w:val="24"/>
                <w:szCs w:val="24"/>
                <w:shd w:val="clear" w:color="auto" w:fill="FFFFFF"/>
                <w:lang w:val="en-GB"/>
              </w:rPr>
              <w:t>Dorothy Allison’s “A Lesbian Appetite” (1988)</w:t>
            </w:r>
          </w:p>
        </w:tc>
        <w:tc>
          <w:tcPr>
            <w:tcW w:w="1088" w:type="dxa"/>
          </w:tcPr>
          <w:p w14:paraId="0C5D8F45" w14:textId="74601910" w:rsidR="007A40FD" w:rsidRPr="006E62D0" w:rsidRDefault="007A40FD">
            <w:pPr>
              <w:rPr>
                <w:rFonts w:cstheme="minorHAnsi"/>
                <w:b/>
                <w:bCs/>
                <w:color w:val="FF3399"/>
                <w:sz w:val="24"/>
                <w:szCs w:val="24"/>
                <w:shd w:val="clear" w:color="auto" w:fill="FFFFFF"/>
                <w:lang w:val="en-GB"/>
              </w:rPr>
            </w:pPr>
            <w:r w:rsidRPr="006E62D0">
              <w:rPr>
                <w:rFonts w:cstheme="minorHAnsi"/>
                <w:b/>
                <w:bCs/>
                <w:color w:val="FF3399"/>
                <w:sz w:val="24"/>
                <w:szCs w:val="24"/>
                <w:shd w:val="clear" w:color="auto" w:fill="FFFFFF"/>
                <w:lang w:val="en-GB"/>
              </w:rPr>
              <w:t>Emma Perez in “Gulf Dreams” (1991)</w:t>
            </w:r>
          </w:p>
        </w:tc>
      </w:tr>
      <w:tr w:rsidR="00D761C7" w14:paraId="415286B0" w14:textId="1003FA7D" w:rsidTr="00D761C7">
        <w:tc>
          <w:tcPr>
            <w:tcW w:w="1254" w:type="dxa"/>
          </w:tcPr>
          <w:p w14:paraId="31633390" w14:textId="77777777" w:rsidR="007A40FD" w:rsidRDefault="007A40FD">
            <w:pPr>
              <w:rPr>
                <w:lang w:val="en-GB"/>
              </w:rPr>
            </w:pPr>
          </w:p>
        </w:tc>
        <w:tc>
          <w:tcPr>
            <w:tcW w:w="1223" w:type="dxa"/>
          </w:tcPr>
          <w:p w14:paraId="6498DBA0" w14:textId="1E158B34" w:rsidR="007A40FD" w:rsidRPr="00663CCE" w:rsidRDefault="007A40FD">
            <w:pPr>
              <w:rPr>
                <w:rFonts w:cstheme="minorHAnsi"/>
                <w:b/>
                <w:bCs/>
                <w:i/>
                <w:iCs/>
                <w:color w:val="ED7D31" w:themeColor="accent2"/>
                <w:sz w:val="24"/>
                <w:szCs w:val="24"/>
                <w:shd w:val="clear" w:color="auto" w:fill="FFFFFF"/>
                <w:lang w:val="en-GB"/>
              </w:rPr>
            </w:pPr>
            <w:r w:rsidRPr="00663CCE">
              <w:rPr>
                <w:rFonts w:cstheme="minorHAnsi"/>
                <w:b/>
                <w:bCs/>
                <w:i/>
                <w:iCs/>
                <w:color w:val="ED7D31" w:themeColor="accent2"/>
                <w:sz w:val="24"/>
                <w:szCs w:val="24"/>
                <w:shd w:val="clear" w:color="auto" w:fill="FFFFFF"/>
                <w:lang w:val="en-GB"/>
              </w:rPr>
              <w:t>Mary E. Wilkins Freeman “The Long Arm” 1895 </w:t>
            </w:r>
          </w:p>
        </w:tc>
        <w:tc>
          <w:tcPr>
            <w:tcW w:w="1208" w:type="dxa"/>
          </w:tcPr>
          <w:p w14:paraId="0EFC9B71" w14:textId="77777777" w:rsidR="007A40FD" w:rsidRPr="000333FC" w:rsidRDefault="007A40FD">
            <w:pPr>
              <w:rPr>
                <w:rFonts w:cstheme="minorHAnsi"/>
                <w:b/>
                <w:bCs/>
                <w:color w:val="ED7D31" w:themeColor="accent2"/>
                <w:sz w:val="24"/>
                <w:szCs w:val="24"/>
                <w:shd w:val="clear" w:color="auto" w:fill="FFFFFF"/>
                <w:lang w:val="en-GB"/>
              </w:rPr>
            </w:pPr>
          </w:p>
        </w:tc>
        <w:tc>
          <w:tcPr>
            <w:tcW w:w="1183" w:type="dxa"/>
          </w:tcPr>
          <w:p w14:paraId="09E25AC1" w14:textId="691969CC" w:rsidR="007A40FD" w:rsidRPr="000333FC" w:rsidRDefault="007A40FD">
            <w:pPr>
              <w:rPr>
                <w:rFonts w:cstheme="minorHAnsi"/>
                <w:b/>
                <w:bCs/>
                <w:color w:val="ED7D31" w:themeColor="accent2"/>
                <w:sz w:val="24"/>
                <w:szCs w:val="24"/>
                <w:shd w:val="clear" w:color="auto" w:fill="FFFFFF"/>
                <w:lang w:val="en-GB"/>
              </w:rPr>
            </w:pPr>
            <w:r w:rsidRPr="000333FC">
              <w:rPr>
                <w:rFonts w:cstheme="minorHAnsi"/>
                <w:b/>
                <w:bCs/>
                <w:color w:val="ED7D31" w:themeColor="accent2"/>
                <w:sz w:val="24"/>
                <w:szCs w:val="24"/>
                <w:shd w:val="clear" w:color="auto" w:fill="FFFFFF"/>
                <w:lang w:val="en-GB"/>
              </w:rPr>
              <w:t>Helen Hull’s “The Fire” (1917)</w:t>
            </w:r>
          </w:p>
        </w:tc>
        <w:tc>
          <w:tcPr>
            <w:tcW w:w="2073" w:type="dxa"/>
          </w:tcPr>
          <w:p w14:paraId="44599C0F" w14:textId="23B13BD1" w:rsidR="007A40FD" w:rsidRDefault="007A40FD">
            <w:pPr>
              <w:rPr>
                <w:lang w:val="en-GB"/>
              </w:rPr>
            </w:pPr>
            <w:proofErr w:type="spellStart"/>
            <w:r w:rsidRPr="002B3804">
              <w:rPr>
                <w:rFonts w:cstheme="minorHAnsi"/>
                <w:b/>
                <w:bCs/>
                <w:color w:val="FF3399"/>
                <w:sz w:val="24"/>
                <w:szCs w:val="24"/>
                <w:highlight w:val="yellow"/>
                <w:shd w:val="clear" w:color="auto" w:fill="FFFFFF"/>
                <w:lang w:val="en-GB"/>
              </w:rPr>
              <w:t>Radclyffe</w:t>
            </w:r>
            <w:proofErr w:type="spellEnd"/>
            <w:r w:rsidRPr="002B3804">
              <w:rPr>
                <w:rFonts w:cstheme="minorHAnsi"/>
                <w:b/>
                <w:bCs/>
                <w:color w:val="FF3399"/>
                <w:sz w:val="24"/>
                <w:szCs w:val="24"/>
                <w:highlight w:val="yellow"/>
                <w:shd w:val="clear" w:color="auto" w:fill="FFFFFF"/>
                <w:lang w:val="en-GB"/>
              </w:rPr>
              <w:t xml:space="preserve"> Hall “The Well of Loneliness” 1928</w:t>
            </w:r>
          </w:p>
        </w:tc>
        <w:tc>
          <w:tcPr>
            <w:tcW w:w="1028" w:type="dxa"/>
          </w:tcPr>
          <w:p w14:paraId="3CC4B481" w14:textId="77777777" w:rsidR="007A40FD" w:rsidRDefault="007A40FD">
            <w:pPr>
              <w:rPr>
                <w:lang w:val="en-GB"/>
              </w:rPr>
            </w:pPr>
          </w:p>
        </w:tc>
        <w:tc>
          <w:tcPr>
            <w:tcW w:w="1631" w:type="dxa"/>
          </w:tcPr>
          <w:p w14:paraId="3AEA57FE" w14:textId="77777777" w:rsidR="007A40FD" w:rsidRPr="009F58C8" w:rsidRDefault="007A40FD">
            <w:pPr>
              <w:rPr>
                <w:rFonts w:cstheme="minorHAnsi"/>
                <w:b/>
                <w:bCs/>
                <w:color w:val="ED7D31" w:themeColor="accent2"/>
                <w:sz w:val="24"/>
                <w:szCs w:val="24"/>
                <w:shd w:val="clear" w:color="auto" w:fill="FFFFFF"/>
                <w:lang w:val="en-GB"/>
              </w:rPr>
            </w:pPr>
          </w:p>
        </w:tc>
        <w:tc>
          <w:tcPr>
            <w:tcW w:w="1196" w:type="dxa"/>
          </w:tcPr>
          <w:p w14:paraId="41C0FC11" w14:textId="46FEE029" w:rsidR="007A40FD" w:rsidRPr="009F58C8" w:rsidRDefault="007A40FD">
            <w:pPr>
              <w:rPr>
                <w:rFonts w:cstheme="minorHAnsi"/>
                <w:b/>
                <w:bCs/>
                <w:color w:val="ED7D31" w:themeColor="accent2"/>
                <w:sz w:val="24"/>
                <w:szCs w:val="24"/>
                <w:shd w:val="clear" w:color="auto" w:fill="FFFFFF"/>
                <w:lang w:val="en-GB"/>
              </w:rPr>
            </w:pPr>
          </w:p>
        </w:tc>
        <w:tc>
          <w:tcPr>
            <w:tcW w:w="2110" w:type="dxa"/>
          </w:tcPr>
          <w:p w14:paraId="1E9832B6" w14:textId="00FE95AF" w:rsidR="007A40FD" w:rsidRPr="009F58C8" w:rsidRDefault="007A40FD">
            <w:pPr>
              <w:rPr>
                <w:rFonts w:cstheme="minorHAnsi"/>
                <w:b/>
                <w:bCs/>
                <w:color w:val="ED7D31" w:themeColor="accent2"/>
                <w:sz w:val="24"/>
                <w:szCs w:val="24"/>
                <w:shd w:val="clear" w:color="auto" w:fill="FFFFFF"/>
                <w:lang w:val="en-GB"/>
              </w:rPr>
            </w:pPr>
            <w:r w:rsidRPr="009F58C8">
              <w:rPr>
                <w:rFonts w:cstheme="minorHAnsi"/>
                <w:b/>
                <w:bCs/>
                <w:color w:val="ED7D31" w:themeColor="accent2"/>
                <w:sz w:val="24"/>
                <w:szCs w:val="24"/>
                <w:shd w:val="clear" w:color="auto" w:fill="FFFFFF"/>
                <w:lang w:val="en-GB"/>
              </w:rPr>
              <w:t>Joan Nestle’s “Liberties Not Taken” (1987)</w:t>
            </w:r>
          </w:p>
        </w:tc>
        <w:tc>
          <w:tcPr>
            <w:tcW w:w="1088" w:type="dxa"/>
          </w:tcPr>
          <w:p w14:paraId="60B918F0" w14:textId="67BD20FF" w:rsidR="000871E2" w:rsidRPr="000871E2" w:rsidRDefault="000871E2" w:rsidP="000871E2">
            <w:pPr>
              <w:rPr>
                <w:rFonts w:cstheme="minorHAnsi"/>
                <w:b/>
                <w:bCs/>
                <w:color w:val="FF3399"/>
                <w:sz w:val="24"/>
                <w:szCs w:val="24"/>
                <w:highlight w:val="cyan"/>
                <w:shd w:val="clear" w:color="auto" w:fill="FFFFFF"/>
                <w:lang w:val="en-GB"/>
              </w:rPr>
            </w:pPr>
            <w:r w:rsidRPr="000871E2">
              <w:rPr>
                <w:rFonts w:cstheme="minorHAnsi"/>
                <w:b/>
                <w:bCs/>
                <w:color w:val="FF3399"/>
                <w:sz w:val="24"/>
                <w:szCs w:val="24"/>
                <w:highlight w:val="cyan"/>
                <w:shd w:val="clear" w:color="auto" w:fill="FFFFFF"/>
                <w:lang w:val="en-GB"/>
              </w:rPr>
              <w:t xml:space="preserve">“Stone Butch Blues” Leslie Feinberg 1993 </w:t>
            </w:r>
          </w:p>
          <w:p w14:paraId="03AD441D" w14:textId="3A1B702A" w:rsidR="007A40FD" w:rsidRPr="009F58C8" w:rsidRDefault="000871E2">
            <w:pPr>
              <w:rPr>
                <w:rFonts w:cstheme="minorHAnsi"/>
                <w:b/>
                <w:bCs/>
                <w:color w:val="ED7D31" w:themeColor="accent2"/>
                <w:sz w:val="24"/>
                <w:szCs w:val="24"/>
                <w:shd w:val="clear" w:color="auto" w:fill="FFFFFF"/>
                <w:lang w:val="en-GB"/>
              </w:rPr>
            </w:pPr>
            <w:proofErr w:type="spellStart"/>
            <w:r>
              <w:rPr>
                <w:rFonts w:cstheme="minorHAnsi"/>
                <w:b/>
                <w:bCs/>
                <w:color w:val="ED7D31" w:themeColor="accent2"/>
                <w:sz w:val="24"/>
                <w:szCs w:val="24"/>
                <w:shd w:val="clear" w:color="auto" w:fill="FFFFFF"/>
                <w:lang w:val="en-GB"/>
              </w:rPr>
              <w:t>Basada</w:t>
            </w:r>
            <w:proofErr w:type="spellEnd"/>
            <w:r>
              <w:rPr>
                <w:rFonts w:cstheme="minorHAnsi"/>
                <w:b/>
                <w:bCs/>
                <w:color w:val="ED7D31" w:themeColor="accent2"/>
                <w:sz w:val="24"/>
                <w:szCs w:val="24"/>
                <w:shd w:val="clear" w:color="auto" w:fill="FFFFFF"/>
                <w:lang w:val="en-GB"/>
              </w:rPr>
              <w:t xml:space="preserve"> </w:t>
            </w:r>
            <w:proofErr w:type="spellStart"/>
            <w:r>
              <w:rPr>
                <w:rFonts w:cstheme="minorHAnsi"/>
                <w:b/>
                <w:bCs/>
                <w:color w:val="ED7D31" w:themeColor="accent2"/>
                <w:sz w:val="24"/>
                <w:szCs w:val="24"/>
                <w:shd w:val="clear" w:color="auto" w:fill="FFFFFF"/>
                <w:lang w:val="en-GB"/>
              </w:rPr>
              <w:t>en</w:t>
            </w:r>
            <w:proofErr w:type="spellEnd"/>
            <w:r>
              <w:rPr>
                <w:rFonts w:cstheme="minorHAnsi"/>
                <w:b/>
                <w:bCs/>
                <w:color w:val="ED7D31" w:themeColor="accent2"/>
                <w:sz w:val="24"/>
                <w:szCs w:val="24"/>
                <w:shd w:val="clear" w:color="auto" w:fill="FFFFFF"/>
                <w:lang w:val="en-GB"/>
              </w:rPr>
              <w:t xml:space="preserve"> 1970</w:t>
            </w:r>
          </w:p>
        </w:tc>
      </w:tr>
      <w:tr w:rsidR="00D761C7" w:rsidRPr="00446CEA" w14:paraId="653A3C0F" w14:textId="702B50C0" w:rsidTr="00D761C7">
        <w:tc>
          <w:tcPr>
            <w:tcW w:w="1254" w:type="dxa"/>
          </w:tcPr>
          <w:p w14:paraId="3C8EE28B" w14:textId="77777777" w:rsidR="007A40FD" w:rsidRDefault="007A40FD">
            <w:pPr>
              <w:rPr>
                <w:lang w:val="en-GB"/>
              </w:rPr>
            </w:pPr>
          </w:p>
        </w:tc>
        <w:tc>
          <w:tcPr>
            <w:tcW w:w="1223" w:type="dxa"/>
          </w:tcPr>
          <w:p w14:paraId="3AB6FED0" w14:textId="77777777" w:rsidR="007A40FD" w:rsidRPr="00663CCE" w:rsidRDefault="007A40FD">
            <w:pPr>
              <w:rPr>
                <w:rFonts w:cstheme="minorHAnsi"/>
                <w:b/>
                <w:bCs/>
                <w:i/>
                <w:iCs/>
                <w:color w:val="ED7D31" w:themeColor="accent2"/>
                <w:sz w:val="24"/>
                <w:szCs w:val="24"/>
                <w:shd w:val="clear" w:color="auto" w:fill="FFFFFF"/>
                <w:lang w:val="en-GB"/>
              </w:rPr>
            </w:pPr>
          </w:p>
        </w:tc>
        <w:tc>
          <w:tcPr>
            <w:tcW w:w="1208" w:type="dxa"/>
          </w:tcPr>
          <w:p w14:paraId="7AAE31BE" w14:textId="77777777" w:rsidR="007A40FD" w:rsidRDefault="007A40FD">
            <w:pPr>
              <w:rPr>
                <w:lang w:val="en-GB"/>
              </w:rPr>
            </w:pPr>
          </w:p>
        </w:tc>
        <w:tc>
          <w:tcPr>
            <w:tcW w:w="1183" w:type="dxa"/>
          </w:tcPr>
          <w:p w14:paraId="73D3EBFD" w14:textId="1C5EC4BC" w:rsidR="007A40FD" w:rsidRDefault="007A40FD">
            <w:pPr>
              <w:rPr>
                <w:lang w:val="en-GB"/>
              </w:rPr>
            </w:pPr>
          </w:p>
        </w:tc>
        <w:tc>
          <w:tcPr>
            <w:tcW w:w="2073" w:type="dxa"/>
          </w:tcPr>
          <w:p w14:paraId="1605D5CC" w14:textId="25A99CF8" w:rsidR="007A40FD" w:rsidRPr="00604AFE" w:rsidRDefault="00604AFE">
            <w:pPr>
              <w:rPr>
                <w:lang w:val="en-GB"/>
              </w:rPr>
            </w:pPr>
            <w:r w:rsidRPr="00D34731">
              <w:rPr>
                <w:rFonts w:cstheme="minorHAnsi"/>
                <w:b/>
                <w:bCs/>
                <w:color w:val="FF3399"/>
                <w:sz w:val="24"/>
                <w:szCs w:val="24"/>
                <w:shd w:val="clear" w:color="auto" w:fill="FFFFFF"/>
                <w:lang w:val="en-GB"/>
              </w:rPr>
              <w:t xml:space="preserve">Gertrude Stein "Miss Furr and Miss </w:t>
            </w:r>
            <w:proofErr w:type="spellStart"/>
            <w:r w:rsidRPr="00D34731">
              <w:rPr>
                <w:rFonts w:cstheme="minorHAnsi"/>
                <w:b/>
                <w:bCs/>
                <w:color w:val="FF3399"/>
                <w:sz w:val="24"/>
                <w:szCs w:val="24"/>
                <w:shd w:val="clear" w:color="auto" w:fill="FFFFFF"/>
                <w:lang w:val="en-GB"/>
              </w:rPr>
              <w:t>Skeene</w:t>
            </w:r>
            <w:proofErr w:type="spellEnd"/>
            <w:r w:rsidRPr="00D34731">
              <w:rPr>
                <w:rFonts w:cstheme="minorHAnsi"/>
                <w:b/>
                <w:bCs/>
                <w:color w:val="FF3399"/>
                <w:sz w:val="24"/>
                <w:szCs w:val="24"/>
                <w:shd w:val="clear" w:color="auto" w:fill="FFFFFF"/>
                <w:lang w:val="en-GB"/>
              </w:rPr>
              <w:t>" 1922</w:t>
            </w:r>
          </w:p>
        </w:tc>
        <w:tc>
          <w:tcPr>
            <w:tcW w:w="1028" w:type="dxa"/>
          </w:tcPr>
          <w:p w14:paraId="78E7AE00" w14:textId="77777777" w:rsidR="007A40FD" w:rsidRDefault="007A40FD">
            <w:pPr>
              <w:rPr>
                <w:lang w:val="en-GB"/>
              </w:rPr>
            </w:pPr>
          </w:p>
        </w:tc>
        <w:tc>
          <w:tcPr>
            <w:tcW w:w="1631" w:type="dxa"/>
          </w:tcPr>
          <w:p w14:paraId="06BD92FA" w14:textId="77777777" w:rsidR="007A40FD" w:rsidRPr="00131A3B" w:rsidRDefault="007A40FD">
            <w:pPr>
              <w:rPr>
                <w:rFonts w:cstheme="minorHAnsi"/>
                <w:b/>
                <w:bCs/>
                <w:i/>
                <w:iCs/>
                <w:color w:val="FF3399"/>
                <w:sz w:val="24"/>
                <w:szCs w:val="24"/>
                <w:shd w:val="clear" w:color="auto" w:fill="FFFFFF"/>
                <w:lang w:val="en-GB"/>
              </w:rPr>
            </w:pPr>
          </w:p>
        </w:tc>
        <w:tc>
          <w:tcPr>
            <w:tcW w:w="1196" w:type="dxa"/>
          </w:tcPr>
          <w:p w14:paraId="2D036306" w14:textId="52E3C306" w:rsidR="007A40FD" w:rsidRPr="00131A3B" w:rsidRDefault="007A40FD">
            <w:pPr>
              <w:rPr>
                <w:rFonts w:cstheme="minorHAnsi"/>
                <w:b/>
                <w:bCs/>
                <w:i/>
                <w:iCs/>
                <w:color w:val="FF3399"/>
                <w:sz w:val="24"/>
                <w:szCs w:val="24"/>
                <w:shd w:val="clear" w:color="auto" w:fill="FFFFFF"/>
                <w:lang w:val="en-GB"/>
              </w:rPr>
            </w:pPr>
          </w:p>
        </w:tc>
        <w:tc>
          <w:tcPr>
            <w:tcW w:w="2110" w:type="dxa"/>
          </w:tcPr>
          <w:p w14:paraId="1B94403F" w14:textId="0CD04568" w:rsidR="007A40FD" w:rsidRPr="00291CA6" w:rsidRDefault="007A40FD">
            <w:pPr>
              <w:rPr>
                <w:lang w:val="en-GB"/>
              </w:rPr>
            </w:pPr>
            <w:r w:rsidRPr="00131A3B">
              <w:rPr>
                <w:rFonts w:cstheme="minorHAnsi"/>
                <w:b/>
                <w:bCs/>
                <w:i/>
                <w:iCs/>
                <w:color w:val="FF3399"/>
                <w:sz w:val="24"/>
                <w:szCs w:val="24"/>
                <w:shd w:val="clear" w:color="auto" w:fill="FFFFFF"/>
                <w:lang w:val="en-GB"/>
              </w:rPr>
              <w:t>Joan Nestle’s “Liberties Not Taken” (1987)</w:t>
            </w:r>
          </w:p>
        </w:tc>
        <w:tc>
          <w:tcPr>
            <w:tcW w:w="1088" w:type="dxa"/>
          </w:tcPr>
          <w:p w14:paraId="48C5C9F7" w14:textId="77777777" w:rsidR="007A40FD" w:rsidRPr="00131A3B" w:rsidRDefault="007A40FD">
            <w:pPr>
              <w:rPr>
                <w:rFonts w:cstheme="minorHAnsi"/>
                <w:b/>
                <w:bCs/>
                <w:i/>
                <w:iCs/>
                <w:color w:val="FF3399"/>
                <w:sz w:val="24"/>
                <w:szCs w:val="24"/>
                <w:shd w:val="clear" w:color="auto" w:fill="FFFFFF"/>
                <w:lang w:val="en-GB"/>
              </w:rPr>
            </w:pPr>
          </w:p>
        </w:tc>
      </w:tr>
      <w:tr w:rsidR="00D761C7" w:rsidRPr="00446CEA" w14:paraId="20F8316D" w14:textId="77E152D0" w:rsidTr="00D761C7">
        <w:tc>
          <w:tcPr>
            <w:tcW w:w="1254" w:type="dxa"/>
          </w:tcPr>
          <w:p w14:paraId="521411FB" w14:textId="77777777" w:rsidR="007A40FD" w:rsidRDefault="007A40FD">
            <w:pPr>
              <w:rPr>
                <w:lang w:val="en-GB"/>
              </w:rPr>
            </w:pPr>
          </w:p>
        </w:tc>
        <w:tc>
          <w:tcPr>
            <w:tcW w:w="1223" w:type="dxa"/>
          </w:tcPr>
          <w:p w14:paraId="1D2A80E9" w14:textId="77777777" w:rsidR="007A40FD" w:rsidRDefault="007A40FD">
            <w:pPr>
              <w:rPr>
                <w:lang w:val="en-GB"/>
              </w:rPr>
            </w:pPr>
          </w:p>
        </w:tc>
        <w:tc>
          <w:tcPr>
            <w:tcW w:w="1208" w:type="dxa"/>
          </w:tcPr>
          <w:p w14:paraId="760474B9" w14:textId="77777777" w:rsidR="007A40FD" w:rsidRDefault="007A40FD">
            <w:pPr>
              <w:rPr>
                <w:lang w:val="en-GB"/>
              </w:rPr>
            </w:pPr>
          </w:p>
        </w:tc>
        <w:tc>
          <w:tcPr>
            <w:tcW w:w="1183" w:type="dxa"/>
          </w:tcPr>
          <w:p w14:paraId="3C76F561" w14:textId="767B5F50" w:rsidR="007A40FD" w:rsidRDefault="007A40FD">
            <w:pPr>
              <w:rPr>
                <w:lang w:val="en-GB"/>
              </w:rPr>
            </w:pPr>
          </w:p>
        </w:tc>
        <w:tc>
          <w:tcPr>
            <w:tcW w:w="2073" w:type="dxa"/>
          </w:tcPr>
          <w:p w14:paraId="061EFEB1" w14:textId="7853A893" w:rsidR="007A40FD" w:rsidRDefault="007A40FD">
            <w:pPr>
              <w:rPr>
                <w:lang w:val="en-GB"/>
              </w:rPr>
            </w:pPr>
          </w:p>
        </w:tc>
        <w:tc>
          <w:tcPr>
            <w:tcW w:w="1028" w:type="dxa"/>
          </w:tcPr>
          <w:p w14:paraId="6E1D8DB6" w14:textId="77777777" w:rsidR="007A40FD" w:rsidRDefault="007A40FD">
            <w:pPr>
              <w:rPr>
                <w:lang w:val="en-GB"/>
              </w:rPr>
            </w:pPr>
          </w:p>
        </w:tc>
        <w:tc>
          <w:tcPr>
            <w:tcW w:w="1631" w:type="dxa"/>
          </w:tcPr>
          <w:p w14:paraId="5E122EDA" w14:textId="77777777" w:rsidR="007A40FD" w:rsidRPr="002B3097" w:rsidRDefault="007A40FD">
            <w:pPr>
              <w:rPr>
                <w:rFonts w:cstheme="minorHAnsi"/>
                <w:b/>
                <w:bCs/>
                <w:color w:val="FF3399"/>
                <w:sz w:val="24"/>
                <w:szCs w:val="24"/>
                <w:shd w:val="clear" w:color="auto" w:fill="FFFFFF"/>
                <w:lang w:val="en-GB"/>
              </w:rPr>
            </w:pPr>
          </w:p>
        </w:tc>
        <w:tc>
          <w:tcPr>
            <w:tcW w:w="1196" w:type="dxa"/>
          </w:tcPr>
          <w:p w14:paraId="5A29BA7E" w14:textId="18E32BC0" w:rsidR="007A40FD" w:rsidRPr="002B3097" w:rsidRDefault="007A40FD">
            <w:pPr>
              <w:rPr>
                <w:rFonts w:cstheme="minorHAnsi"/>
                <w:b/>
                <w:bCs/>
                <w:color w:val="FF3399"/>
                <w:sz w:val="24"/>
                <w:szCs w:val="24"/>
                <w:shd w:val="clear" w:color="auto" w:fill="FFFFFF"/>
                <w:lang w:val="en-GB"/>
              </w:rPr>
            </w:pPr>
          </w:p>
        </w:tc>
        <w:tc>
          <w:tcPr>
            <w:tcW w:w="2110" w:type="dxa"/>
          </w:tcPr>
          <w:p w14:paraId="3B9D82BA" w14:textId="540836C3" w:rsidR="007A40FD" w:rsidRPr="002B3097" w:rsidRDefault="007A40FD">
            <w:pPr>
              <w:rPr>
                <w:lang w:val="en-GB"/>
              </w:rPr>
            </w:pPr>
            <w:r w:rsidRPr="002B3097">
              <w:rPr>
                <w:rFonts w:cstheme="minorHAnsi"/>
                <w:b/>
                <w:bCs/>
                <w:color w:val="FF3399"/>
                <w:sz w:val="24"/>
                <w:szCs w:val="24"/>
                <w:shd w:val="clear" w:color="auto" w:fill="FFFFFF"/>
                <w:lang w:val="en-GB"/>
              </w:rPr>
              <w:t xml:space="preserve">Jane Rule’s “His </w:t>
            </w:r>
            <w:proofErr w:type="gramStart"/>
            <w:r w:rsidRPr="002B3097">
              <w:rPr>
                <w:rFonts w:cstheme="minorHAnsi"/>
                <w:b/>
                <w:bCs/>
                <w:color w:val="FF3399"/>
                <w:sz w:val="24"/>
                <w:szCs w:val="24"/>
                <w:shd w:val="clear" w:color="auto" w:fill="FFFFFF"/>
                <w:lang w:val="en-GB"/>
              </w:rPr>
              <w:t>Nor</w:t>
            </w:r>
            <w:proofErr w:type="gramEnd"/>
            <w:r w:rsidRPr="002B3097">
              <w:rPr>
                <w:rFonts w:cstheme="minorHAnsi"/>
                <w:b/>
                <w:bCs/>
                <w:color w:val="FF3399"/>
                <w:sz w:val="24"/>
                <w:szCs w:val="24"/>
                <w:shd w:val="clear" w:color="auto" w:fill="FFFFFF"/>
                <w:lang w:val="en-GB"/>
              </w:rPr>
              <w:t xml:space="preserve"> Hers” (1985)</w:t>
            </w:r>
          </w:p>
        </w:tc>
        <w:tc>
          <w:tcPr>
            <w:tcW w:w="1088" w:type="dxa"/>
          </w:tcPr>
          <w:p w14:paraId="1A32DC11" w14:textId="77777777" w:rsidR="007A40FD" w:rsidRDefault="007A40FD">
            <w:pPr>
              <w:rPr>
                <w:lang w:val="en-GB"/>
              </w:rPr>
            </w:pPr>
          </w:p>
        </w:tc>
      </w:tr>
      <w:tr w:rsidR="00D761C7" w14:paraId="331D6F85" w14:textId="54D5660A" w:rsidTr="00D761C7">
        <w:tc>
          <w:tcPr>
            <w:tcW w:w="1254" w:type="dxa"/>
          </w:tcPr>
          <w:p w14:paraId="718E40EA" w14:textId="77777777" w:rsidR="007A40FD" w:rsidRDefault="007A40FD">
            <w:pPr>
              <w:rPr>
                <w:lang w:val="en-GB"/>
              </w:rPr>
            </w:pPr>
          </w:p>
        </w:tc>
        <w:tc>
          <w:tcPr>
            <w:tcW w:w="1223" w:type="dxa"/>
          </w:tcPr>
          <w:p w14:paraId="76D1B320" w14:textId="77777777" w:rsidR="007A40FD" w:rsidRDefault="007A40FD">
            <w:pPr>
              <w:rPr>
                <w:lang w:val="en-GB"/>
              </w:rPr>
            </w:pPr>
          </w:p>
        </w:tc>
        <w:tc>
          <w:tcPr>
            <w:tcW w:w="1208" w:type="dxa"/>
          </w:tcPr>
          <w:p w14:paraId="48ED8D7C" w14:textId="77777777" w:rsidR="007A40FD" w:rsidRDefault="007A40FD">
            <w:pPr>
              <w:rPr>
                <w:lang w:val="en-GB"/>
              </w:rPr>
            </w:pPr>
          </w:p>
        </w:tc>
        <w:tc>
          <w:tcPr>
            <w:tcW w:w="1183" w:type="dxa"/>
          </w:tcPr>
          <w:p w14:paraId="2115464C" w14:textId="02E5E778" w:rsidR="007A40FD" w:rsidRDefault="007A40FD">
            <w:pPr>
              <w:rPr>
                <w:lang w:val="en-GB"/>
              </w:rPr>
            </w:pPr>
          </w:p>
        </w:tc>
        <w:tc>
          <w:tcPr>
            <w:tcW w:w="2073" w:type="dxa"/>
          </w:tcPr>
          <w:p w14:paraId="6C8CF085" w14:textId="1563648E" w:rsidR="007A40FD" w:rsidRDefault="007A40FD">
            <w:pPr>
              <w:rPr>
                <w:lang w:val="en-GB"/>
              </w:rPr>
            </w:pPr>
          </w:p>
        </w:tc>
        <w:tc>
          <w:tcPr>
            <w:tcW w:w="1028" w:type="dxa"/>
          </w:tcPr>
          <w:p w14:paraId="75F41AEB" w14:textId="77777777" w:rsidR="007A40FD" w:rsidRDefault="007A40FD">
            <w:pPr>
              <w:rPr>
                <w:lang w:val="en-GB"/>
              </w:rPr>
            </w:pPr>
          </w:p>
        </w:tc>
        <w:tc>
          <w:tcPr>
            <w:tcW w:w="1631" w:type="dxa"/>
          </w:tcPr>
          <w:p w14:paraId="1ADA5D5C" w14:textId="77777777" w:rsidR="007A40FD" w:rsidRPr="00486F52" w:rsidRDefault="007A40FD">
            <w:pPr>
              <w:rPr>
                <w:rFonts w:ascii="PT Serif" w:hAnsi="PT Serif"/>
                <w:color w:val="111111"/>
                <w:sz w:val="29"/>
                <w:szCs w:val="29"/>
                <w:shd w:val="clear" w:color="auto" w:fill="FFFFFF"/>
                <w:lang w:val="en-GB"/>
              </w:rPr>
            </w:pPr>
          </w:p>
        </w:tc>
        <w:tc>
          <w:tcPr>
            <w:tcW w:w="1196" w:type="dxa"/>
          </w:tcPr>
          <w:p w14:paraId="2381C418" w14:textId="6349A20B" w:rsidR="007A40FD" w:rsidRPr="00486F52" w:rsidRDefault="007A40FD">
            <w:pPr>
              <w:rPr>
                <w:rFonts w:ascii="PT Serif" w:hAnsi="PT Serif"/>
                <w:color w:val="111111"/>
                <w:sz w:val="29"/>
                <w:szCs w:val="29"/>
                <w:shd w:val="clear" w:color="auto" w:fill="FFFFFF"/>
                <w:lang w:val="en-GB"/>
              </w:rPr>
            </w:pPr>
          </w:p>
        </w:tc>
        <w:tc>
          <w:tcPr>
            <w:tcW w:w="2110" w:type="dxa"/>
          </w:tcPr>
          <w:p w14:paraId="7CB0D192" w14:textId="227CA990" w:rsidR="007A40FD" w:rsidRPr="00752FB3" w:rsidRDefault="007A40FD">
            <w:pPr>
              <w:rPr>
                <w:rFonts w:cstheme="minorHAnsi"/>
                <w:b/>
                <w:bCs/>
                <w:color w:val="FF3399"/>
                <w:sz w:val="24"/>
                <w:szCs w:val="24"/>
                <w:shd w:val="clear" w:color="auto" w:fill="FFFFFF"/>
                <w:lang w:val="en-GB"/>
              </w:rPr>
            </w:pPr>
            <w:r w:rsidRPr="00752FB3">
              <w:rPr>
                <w:rFonts w:cstheme="minorHAnsi"/>
                <w:b/>
                <w:bCs/>
                <w:color w:val="FF3399"/>
                <w:sz w:val="24"/>
                <w:szCs w:val="24"/>
                <w:shd w:val="clear" w:color="auto" w:fill="FFFFFF"/>
                <w:lang w:val="en-GB"/>
              </w:rPr>
              <w:t>Leslie Lawrence’s “My Lesbian Imagination” (1987)</w:t>
            </w:r>
          </w:p>
        </w:tc>
        <w:tc>
          <w:tcPr>
            <w:tcW w:w="1088" w:type="dxa"/>
          </w:tcPr>
          <w:p w14:paraId="19B87F74" w14:textId="77777777" w:rsidR="007A40FD" w:rsidRDefault="007A40FD">
            <w:pPr>
              <w:rPr>
                <w:lang w:val="en-GB"/>
              </w:rPr>
            </w:pPr>
          </w:p>
        </w:tc>
      </w:tr>
      <w:tr w:rsidR="00D761C7" w:rsidRPr="00446CEA" w14:paraId="3FFC17DC" w14:textId="7BBD09D8" w:rsidTr="00D761C7">
        <w:tc>
          <w:tcPr>
            <w:tcW w:w="1254" w:type="dxa"/>
          </w:tcPr>
          <w:p w14:paraId="0BDCE02B" w14:textId="77777777" w:rsidR="007A40FD" w:rsidRDefault="007A40FD">
            <w:pPr>
              <w:rPr>
                <w:lang w:val="en-GB"/>
              </w:rPr>
            </w:pPr>
          </w:p>
        </w:tc>
        <w:tc>
          <w:tcPr>
            <w:tcW w:w="1223" w:type="dxa"/>
          </w:tcPr>
          <w:p w14:paraId="450A35F2" w14:textId="77777777" w:rsidR="007A40FD" w:rsidRDefault="007A40FD">
            <w:pPr>
              <w:rPr>
                <w:lang w:val="en-GB"/>
              </w:rPr>
            </w:pPr>
          </w:p>
        </w:tc>
        <w:tc>
          <w:tcPr>
            <w:tcW w:w="1208" w:type="dxa"/>
          </w:tcPr>
          <w:p w14:paraId="5CA134DC" w14:textId="77777777" w:rsidR="007A40FD" w:rsidRDefault="007A40FD">
            <w:pPr>
              <w:rPr>
                <w:lang w:val="en-GB"/>
              </w:rPr>
            </w:pPr>
          </w:p>
        </w:tc>
        <w:tc>
          <w:tcPr>
            <w:tcW w:w="1183" w:type="dxa"/>
          </w:tcPr>
          <w:p w14:paraId="1806DCAA" w14:textId="457CB7BA" w:rsidR="007A40FD" w:rsidRDefault="007A40FD">
            <w:pPr>
              <w:rPr>
                <w:lang w:val="en-GB"/>
              </w:rPr>
            </w:pPr>
          </w:p>
        </w:tc>
        <w:tc>
          <w:tcPr>
            <w:tcW w:w="2073" w:type="dxa"/>
          </w:tcPr>
          <w:p w14:paraId="0B4C105F" w14:textId="09AB9F31" w:rsidR="007A40FD" w:rsidRDefault="007A40FD">
            <w:pPr>
              <w:rPr>
                <w:lang w:val="en-GB"/>
              </w:rPr>
            </w:pPr>
          </w:p>
        </w:tc>
        <w:tc>
          <w:tcPr>
            <w:tcW w:w="1028" w:type="dxa"/>
          </w:tcPr>
          <w:p w14:paraId="001CC8D5" w14:textId="77777777" w:rsidR="007A40FD" w:rsidRDefault="007A40FD">
            <w:pPr>
              <w:rPr>
                <w:lang w:val="en-GB"/>
              </w:rPr>
            </w:pPr>
          </w:p>
        </w:tc>
        <w:tc>
          <w:tcPr>
            <w:tcW w:w="1631" w:type="dxa"/>
          </w:tcPr>
          <w:p w14:paraId="54044AC0" w14:textId="77777777" w:rsidR="007A40FD" w:rsidRPr="00E2514D" w:rsidRDefault="007A40FD">
            <w:pPr>
              <w:rPr>
                <w:rFonts w:ascii="PT Serif" w:hAnsi="PT Serif"/>
                <w:color w:val="111111"/>
                <w:sz w:val="29"/>
                <w:szCs w:val="29"/>
                <w:shd w:val="clear" w:color="auto" w:fill="FFFFFF"/>
                <w:lang w:val="en-GB"/>
              </w:rPr>
            </w:pPr>
          </w:p>
        </w:tc>
        <w:tc>
          <w:tcPr>
            <w:tcW w:w="1196" w:type="dxa"/>
          </w:tcPr>
          <w:p w14:paraId="455D495F" w14:textId="2104E650" w:rsidR="007A40FD" w:rsidRPr="00E2514D" w:rsidRDefault="007A40FD">
            <w:pPr>
              <w:rPr>
                <w:rFonts w:ascii="PT Serif" w:hAnsi="PT Serif"/>
                <w:color w:val="111111"/>
                <w:sz w:val="29"/>
                <w:szCs w:val="29"/>
                <w:shd w:val="clear" w:color="auto" w:fill="FFFFFF"/>
                <w:lang w:val="en-GB"/>
              </w:rPr>
            </w:pPr>
          </w:p>
        </w:tc>
        <w:tc>
          <w:tcPr>
            <w:tcW w:w="2110" w:type="dxa"/>
          </w:tcPr>
          <w:p w14:paraId="78B86A6A" w14:textId="3AE6DA9B" w:rsidR="007A40FD" w:rsidRPr="00752FB3" w:rsidRDefault="007A40FD">
            <w:pPr>
              <w:rPr>
                <w:rFonts w:cstheme="minorHAnsi"/>
                <w:b/>
                <w:bCs/>
                <w:color w:val="FF3399"/>
                <w:sz w:val="24"/>
                <w:szCs w:val="24"/>
                <w:shd w:val="clear" w:color="auto" w:fill="FFFFFF"/>
                <w:lang w:val="en-GB"/>
              </w:rPr>
            </w:pPr>
            <w:r w:rsidRPr="00752FB3">
              <w:rPr>
                <w:rFonts w:cstheme="minorHAnsi"/>
                <w:b/>
                <w:bCs/>
                <w:color w:val="FF3399"/>
                <w:sz w:val="24"/>
                <w:szCs w:val="24"/>
                <w:shd w:val="clear" w:color="auto" w:fill="FFFFFF"/>
                <w:lang w:val="en-GB"/>
              </w:rPr>
              <w:t>Becky Birtha’s “In the Life” (1987)</w:t>
            </w:r>
          </w:p>
        </w:tc>
        <w:tc>
          <w:tcPr>
            <w:tcW w:w="1088" w:type="dxa"/>
          </w:tcPr>
          <w:p w14:paraId="1E2FAD90" w14:textId="77777777" w:rsidR="007A40FD" w:rsidRDefault="007A40FD">
            <w:pPr>
              <w:rPr>
                <w:lang w:val="en-GB"/>
              </w:rPr>
            </w:pPr>
          </w:p>
        </w:tc>
      </w:tr>
      <w:tr w:rsidR="00D761C7" w:rsidRPr="00446CEA" w14:paraId="1C7E1665" w14:textId="3D5D929E" w:rsidTr="00D761C7">
        <w:tc>
          <w:tcPr>
            <w:tcW w:w="1254" w:type="dxa"/>
          </w:tcPr>
          <w:p w14:paraId="1E55ED46" w14:textId="77777777" w:rsidR="007A40FD" w:rsidRDefault="007A40FD">
            <w:pPr>
              <w:rPr>
                <w:lang w:val="en-GB"/>
              </w:rPr>
            </w:pPr>
          </w:p>
        </w:tc>
        <w:tc>
          <w:tcPr>
            <w:tcW w:w="1223" w:type="dxa"/>
          </w:tcPr>
          <w:p w14:paraId="47C1F340" w14:textId="77777777" w:rsidR="007A40FD" w:rsidRDefault="007A40FD">
            <w:pPr>
              <w:rPr>
                <w:lang w:val="en-GB"/>
              </w:rPr>
            </w:pPr>
          </w:p>
        </w:tc>
        <w:tc>
          <w:tcPr>
            <w:tcW w:w="1208" w:type="dxa"/>
          </w:tcPr>
          <w:p w14:paraId="5D6B63A2" w14:textId="77777777" w:rsidR="007A40FD" w:rsidRDefault="007A40FD">
            <w:pPr>
              <w:rPr>
                <w:lang w:val="en-GB"/>
              </w:rPr>
            </w:pPr>
          </w:p>
        </w:tc>
        <w:tc>
          <w:tcPr>
            <w:tcW w:w="1183" w:type="dxa"/>
          </w:tcPr>
          <w:p w14:paraId="07E2CE83" w14:textId="489A2ADE" w:rsidR="007A40FD" w:rsidRDefault="007A40FD">
            <w:pPr>
              <w:rPr>
                <w:lang w:val="en-GB"/>
              </w:rPr>
            </w:pPr>
          </w:p>
        </w:tc>
        <w:tc>
          <w:tcPr>
            <w:tcW w:w="2073" w:type="dxa"/>
          </w:tcPr>
          <w:p w14:paraId="452C1B61" w14:textId="7137E1EA" w:rsidR="007A40FD" w:rsidRDefault="007A40FD">
            <w:pPr>
              <w:rPr>
                <w:lang w:val="en-GB"/>
              </w:rPr>
            </w:pPr>
          </w:p>
        </w:tc>
        <w:tc>
          <w:tcPr>
            <w:tcW w:w="1028" w:type="dxa"/>
          </w:tcPr>
          <w:p w14:paraId="48232484" w14:textId="77777777" w:rsidR="007A40FD" w:rsidRDefault="007A40FD">
            <w:pPr>
              <w:rPr>
                <w:lang w:val="en-GB"/>
              </w:rPr>
            </w:pPr>
          </w:p>
        </w:tc>
        <w:tc>
          <w:tcPr>
            <w:tcW w:w="1631" w:type="dxa"/>
          </w:tcPr>
          <w:p w14:paraId="2B9E0483" w14:textId="77777777" w:rsidR="007A40FD" w:rsidRDefault="007A40FD">
            <w:pPr>
              <w:rPr>
                <w:lang w:val="en-GB"/>
              </w:rPr>
            </w:pPr>
          </w:p>
        </w:tc>
        <w:tc>
          <w:tcPr>
            <w:tcW w:w="1196" w:type="dxa"/>
          </w:tcPr>
          <w:p w14:paraId="4D780A96" w14:textId="68735558" w:rsidR="007A40FD" w:rsidRDefault="007A40FD">
            <w:pPr>
              <w:rPr>
                <w:lang w:val="en-GB"/>
              </w:rPr>
            </w:pPr>
          </w:p>
        </w:tc>
        <w:tc>
          <w:tcPr>
            <w:tcW w:w="2110" w:type="dxa"/>
          </w:tcPr>
          <w:p w14:paraId="56B91EE1" w14:textId="592ED4BC" w:rsidR="00D720A4" w:rsidRPr="00D720A4" w:rsidRDefault="00D720A4" w:rsidP="00D720A4">
            <w:pPr>
              <w:rPr>
                <w:rFonts w:cstheme="minorHAnsi"/>
                <w:b/>
                <w:bCs/>
                <w:color w:val="FF3399"/>
                <w:sz w:val="24"/>
                <w:szCs w:val="24"/>
                <w:highlight w:val="cyan"/>
                <w:shd w:val="clear" w:color="auto" w:fill="FFFFFF"/>
                <w:lang w:val="en-GB"/>
              </w:rPr>
            </w:pPr>
            <w:r>
              <w:rPr>
                <w:rFonts w:cstheme="minorHAnsi"/>
                <w:b/>
                <w:bCs/>
                <w:color w:val="FF3399"/>
                <w:sz w:val="24"/>
                <w:szCs w:val="24"/>
                <w:highlight w:val="cyan"/>
                <w:shd w:val="clear" w:color="auto" w:fill="FFFFFF"/>
                <w:lang w:val="en-GB"/>
              </w:rPr>
              <w:t>“</w:t>
            </w:r>
            <w:r w:rsidRPr="00D720A4">
              <w:rPr>
                <w:rFonts w:cstheme="minorHAnsi"/>
                <w:b/>
                <w:bCs/>
                <w:color w:val="FF3399"/>
                <w:sz w:val="24"/>
                <w:szCs w:val="24"/>
                <w:highlight w:val="cyan"/>
                <w:shd w:val="clear" w:color="auto" w:fill="FFFFFF"/>
                <w:lang w:val="en-GB"/>
              </w:rPr>
              <w:t>Annie on my Mind</w:t>
            </w:r>
            <w:r>
              <w:rPr>
                <w:rFonts w:cstheme="minorHAnsi"/>
                <w:b/>
                <w:bCs/>
                <w:color w:val="FF3399"/>
                <w:sz w:val="24"/>
                <w:szCs w:val="24"/>
                <w:highlight w:val="cyan"/>
                <w:shd w:val="clear" w:color="auto" w:fill="FFFFFF"/>
                <w:lang w:val="en-GB"/>
              </w:rPr>
              <w:t>”</w:t>
            </w:r>
            <w:r w:rsidRPr="00D720A4">
              <w:rPr>
                <w:rFonts w:cstheme="minorHAnsi"/>
                <w:b/>
                <w:bCs/>
                <w:color w:val="FF3399"/>
                <w:sz w:val="24"/>
                <w:szCs w:val="24"/>
                <w:highlight w:val="cyan"/>
                <w:shd w:val="clear" w:color="auto" w:fill="FFFFFF"/>
                <w:lang w:val="en-GB"/>
              </w:rPr>
              <w:t xml:space="preserve"> Nancy Garden</w:t>
            </w:r>
            <w:r>
              <w:rPr>
                <w:rFonts w:cstheme="minorHAnsi"/>
                <w:b/>
                <w:bCs/>
                <w:color w:val="FF3399"/>
                <w:sz w:val="24"/>
                <w:szCs w:val="24"/>
                <w:highlight w:val="cyan"/>
                <w:shd w:val="clear" w:color="auto" w:fill="FFFFFF"/>
                <w:lang w:val="en-GB"/>
              </w:rPr>
              <w:t xml:space="preserve"> </w:t>
            </w:r>
            <w:r w:rsidRPr="00D720A4">
              <w:rPr>
                <w:rFonts w:cstheme="minorHAnsi"/>
                <w:b/>
                <w:bCs/>
                <w:color w:val="FF3399"/>
                <w:sz w:val="24"/>
                <w:szCs w:val="24"/>
                <w:highlight w:val="cyan"/>
                <w:shd w:val="clear" w:color="auto" w:fill="FFFFFF"/>
                <w:lang w:val="en-GB"/>
              </w:rPr>
              <w:t>1982</w:t>
            </w:r>
          </w:p>
          <w:p w14:paraId="5E24C1C9" w14:textId="36F0C310" w:rsidR="007A40FD" w:rsidRPr="00563002" w:rsidRDefault="007A40FD" w:rsidP="006B51BD">
            <w:pPr>
              <w:rPr>
                <w:highlight w:val="cyan"/>
                <w:lang w:val="en-GB"/>
              </w:rPr>
            </w:pPr>
          </w:p>
        </w:tc>
        <w:tc>
          <w:tcPr>
            <w:tcW w:w="1088" w:type="dxa"/>
          </w:tcPr>
          <w:p w14:paraId="49CE7F08" w14:textId="77777777" w:rsidR="007A40FD" w:rsidRDefault="007A40FD">
            <w:pPr>
              <w:rPr>
                <w:lang w:val="en-GB"/>
              </w:rPr>
            </w:pPr>
          </w:p>
        </w:tc>
      </w:tr>
      <w:tr w:rsidR="00D761C7" w:rsidRPr="00446CEA" w14:paraId="47A4E017" w14:textId="77777777" w:rsidTr="00D761C7">
        <w:tc>
          <w:tcPr>
            <w:tcW w:w="1254" w:type="dxa"/>
          </w:tcPr>
          <w:p w14:paraId="15A6C999" w14:textId="77777777" w:rsidR="007A40FD" w:rsidRDefault="007A40FD">
            <w:pPr>
              <w:rPr>
                <w:lang w:val="en-GB"/>
              </w:rPr>
            </w:pPr>
          </w:p>
        </w:tc>
        <w:tc>
          <w:tcPr>
            <w:tcW w:w="1223" w:type="dxa"/>
          </w:tcPr>
          <w:p w14:paraId="3A90ABE7" w14:textId="77777777" w:rsidR="007A40FD" w:rsidRDefault="007A40FD">
            <w:pPr>
              <w:rPr>
                <w:lang w:val="en-GB"/>
              </w:rPr>
            </w:pPr>
          </w:p>
        </w:tc>
        <w:tc>
          <w:tcPr>
            <w:tcW w:w="1208" w:type="dxa"/>
          </w:tcPr>
          <w:p w14:paraId="5B1F9508" w14:textId="77777777" w:rsidR="007A40FD" w:rsidRDefault="007A40FD">
            <w:pPr>
              <w:rPr>
                <w:lang w:val="en-GB"/>
              </w:rPr>
            </w:pPr>
          </w:p>
        </w:tc>
        <w:tc>
          <w:tcPr>
            <w:tcW w:w="1183" w:type="dxa"/>
          </w:tcPr>
          <w:p w14:paraId="65A5451F" w14:textId="77777777" w:rsidR="007A40FD" w:rsidRDefault="007A40FD">
            <w:pPr>
              <w:rPr>
                <w:lang w:val="en-GB"/>
              </w:rPr>
            </w:pPr>
          </w:p>
        </w:tc>
        <w:tc>
          <w:tcPr>
            <w:tcW w:w="2073" w:type="dxa"/>
          </w:tcPr>
          <w:p w14:paraId="1059A1B6" w14:textId="77777777" w:rsidR="007A40FD" w:rsidRDefault="007A40FD">
            <w:pPr>
              <w:rPr>
                <w:lang w:val="en-GB"/>
              </w:rPr>
            </w:pPr>
          </w:p>
        </w:tc>
        <w:tc>
          <w:tcPr>
            <w:tcW w:w="1028" w:type="dxa"/>
          </w:tcPr>
          <w:p w14:paraId="599D88B9" w14:textId="77777777" w:rsidR="007A40FD" w:rsidRDefault="007A40FD">
            <w:pPr>
              <w:rPr>
                <w:lang w:val="en-GB"/>
              </w:rPr>
            </w:pPr>
          </w:p>
        </w:tc>
        <w:tc>
          <w:tcPr>
            <w:tcW w:w="1631" w:type="dxa"/>
          </w:tcPr>
          <w:p w14:paraId="4936C948" w14:textId="77777777" w:rsidR="007A40FD" w:rsidRDefault="007A40FD">
            <w:pPr>
              <w:rPr>
                <w:lang w:val="en-GB"/>
              </w:rPr>
            </w:pPr>
          </w:p>
        </w:tc>
        <w:tc>
          <w:tcPr>
            <w:tcW w:w="1196" w:type="dxa"/>
          </w:tcPr>
          <w:p w14:paraId="0B931799" w14:textId="1FA64877" w:rsidR="007A40FD" w:rsidRDefault="007A40FD">
            <w:pPr>
              <w:rPr>
                <w:lang w:val="en-GB"/>
              </w:rPr>
            </w:pPr>
          </w:p>
        </w:tc>
        <w:tc>
          <w:tcPr>
            <w:tcW w:w="2110" w:type="dxa"/>
          </w:tcPr>
          <w:p w14:paraId="1B901092" w14:textId="51244F29" w:rsidR="007A40FD" w:rsidRPr="00752FB3" w:rsidRDefault="007A40FD" w:rsidP="00752FB3">
            <w:pPr>
              <w:rPr>
                <w:rFonts w:cstheme="minorHAnsi"/>
                <w:b/>
                <w:bCs/>
                <w:color w:val="FF3399"/>
                <w:sz w:val="24"/>
                <w:szCs w:val="24"/>
                <w:highlight w:val="cyan"/>
                <w:shd w:val="clear" w:color="auto" w:fill="FFFFFF"/>
                <w:lang w:val="en-GB"/>
              </w:rPr>
            </w:pPr>
            <w:r w:rsidRPr="00563002">
              <w:rPr>
                <w:rFonts w:cstheme="minorHAnsi"/>
                <w:b/>
                <w:bCs/>
                <w:color w:val="FF3399"/>
                <w:sz w:val="24"/>
                <w:szCs w:val="24"/>
                <w:highlight w:val="cyan"/>
                <w:shd w:val="clear" w:color="auto" w:fill="FFFFFF"/>
                <w:lang w:val="en-GB"/>
              </w:rPr>
              <w:t>“</w:t>
            </w:r>
            <w:hyperlink r:id="rId7" w:tgtFrame="_blank" w:history="1">
              <w:r w:rsidRPr="00752FB3">
                <w:rPr>
                  <w:rFonts w:cstheme="minorHAnsi"/>
                  <w:b/>
                  <w:bCs/>
                  <w:color w:val="FF3399"/>
                  <w:sz w:val="24"/>
                  <w:szCs w:val="24"/>
                  <w:highlight w:val="cyan"/>
                  <w:shd w:val="clear" w:color="auto" w:fill="FFFFFF"/>
                  <w:lang w:val="en-GB"/>
                </w:rPr>
                <w:t xml:space="preserve">The </w:t>
              </w:r>
              <w:proofErr w:type="spellStart"/>
              <w:r w:rsidRPr="00752FB3">
                <w:rPr>
                  <w:rFonts w:cstheme="minorHAnsi"/>
                  <w:b/>
                  <w:bCs/>
                  <w:color w:val="FF3399"/>
                  <w:sz w:val="24"/>
                  <w:szCs w:val="24"/>
                  <w:highlight w:val="cyan"/>
                  <w:shd w:val="clear" w:color="auto" w:fill="FFFFFF"/>
                  <w:lang w:val="en-GB"/>
                </w:rPr>
                <w:t>Color</w:t>
              </w:r>
              <w:proofErr w:type="spellEnd"/>
              <w:r w:rsidRPr="00752FB3">
                <w:rPr>
                  <w:rFonts w:cstheme="minorHAnsi"/>
                  <w:b/>
                  <w:bCs/>
                  <w:color w:val="FF3399"/>
                  <w:sz w:val="24"/>
                  <w:szCs w:val="24"/>
                  <w:highlight w:val="cyan"/>
                  <w:shd w:val="clear" w:color="auto" w:fill="FFFFFF"/>
                  <w:lang w:val="en-GB"/>
                </w:rPr>
                <w:t xml:space="preserve"> Purple</w:t>
              </w:r>
            </w:hyperlink>
            <w:r w:rsidRPr="00563002">
              <w:rPr>
                <w:rFonts w:cstheme="minorHAnsi"/>
                <w:b/>
                <w:bCs/>
                <w:color w:val="FF3399"/>
                <w:sz w:val="24"/>
                <w:szCs w:val="24"/>
                <w:highlight w:val="cyan"/>
                <w:shd w:val="clear" w:color="auto" w:fill="FFFFFF"/>
                <w:lang w:val="en-GB"/>
              </w:rPr>
              <w:t>”</w:t>
            </w:r>
            <w:r w:rsidRPr="00752FB3">
              <w:rPr>
                <w:rFonts w:cstheme="minorHAnsi"/>
                <w:b/>
                <w:bCs/>
                <w:color w:val="FF3399"/>
                <w:sz w:val="24"/>
                <w:szCs w:val="24"/>
                <w:highlight w:val="cyan"/>
                <w:shd w:val="clear" w:color="auto" w:fill="FFFFFF"/>
                <w:lang w:val="en-GB"/>
              </w:rPr>
              <w:t xml:space="preserve"> Alice Walker (1982)</w:t>
            </w:r>
          </w:p>
          <w:p w14:paraId="24FCFBC3" w14:textId="77777777" w:rsidR="007A40FD" w:rsidRPr="00563002" w:rsidRDefault="007A40FD" w:rsidP="00752FB3">
            <w:pPr>
              <w:rPr>
                <w:rFonts w:cstheme="minorHAnsi"/>
                <w:b/>
                <w:bCs/>
                <w:color w:val="FF3399"/>
                <w:sz w:val="24"/>
                <w:szCs w:val="24"/>
                <w:highlight w:val="cyan"/>
                <w:shd w:val="clear" w:color="auto" w:fill="FFFFFF"/>
                <w:lang w:val="en-GB"/>
              </w:rPr>
            </w:pPr>
          </w:p>
        </w:tc>
        <w:tc>
          <w:tcPr>
            <w:tcW w:w="1088" w:type="dxa"/>
          </w:tcPr>
          <w:p w14:paraId="18531DA4" w14:textId="77777777" w:rsidR="007A40FD" w:rsidRDefault="007A40FD">
            <w:pPr>
              <w:rPr>
                <w:lang w:val="en-GB"/>
              </w:rPr>
            </w:pPr>
          </w:p>
        </w:tc>
      </w:tr>
      <w:tr w:rsidR="00D761C7" w:rsidRPr="00446CEA" w14:paraId="2544DD15" w14:textId="77777777" w:rsidTr="00D761C7">
        <w:tc>
          <w:tcPr>
            <w:tcW w:w="1254" w:type="dxa"/>
          </w:tcPr>
          <w:p w14:paraId="381C963A" w14:textId="77777777" w:rsidR="007A40FD" w:rsidRDefault="007A40FD">
            <w:pPr>
              <w:rPr>
                <w:lang w:val="en-GB"/>
              </w:rPr>
            </w:pPr>
          </w:p>
        </w:tc>
        <w:tc>
          <w:tcPr>
            <w:tcW w:w="1223" w:type="dxa"/>
          </w:tcPr>
          <w:p w14:paraId="3BBC1280" w14:textId="77777777" w:rsidR="007A40FD" w:rsidRDefault="007A40FD">
            <w:pPr>
              <w:rPr>
                <w:lang w:val="en-GB"/>
              </w:rPr>
            </w:pPr>
          </w:p>
        </w:tc>
        <w:tc>
          <w:tcPr>
            <w:tcW w:w="1208" w:type="dxa"/>
          </w:tcPr>
          <w:p w14:paraId="391E93C3" w14:textId="77777777" w:rsidR="007A40FD" w:rsidRDefault="007A40FD">
            <w:pPr>
              <w:rPr>
                <w:lang w:val="en-GB"/>
              </w:rPr>
            </w:pPr>
          </w:p>
        </w:tc>
        <w:tc>
          <w:tcPr>
            <w:tcW w:w="1183" w:type="dxa"/>
          </w:tcPr>
          <w:p w14:paraId="651782D1" w14:textId="77777777" w:rsidR="007A40FD" w:rsidRDefault="007A40FD">
            <w:pPr>
              <w:rPr>
                <w:lang w:val="en-GB"/>
              </w:rPr>
            </w:pPr>
          </w:p>
        </w:tc>
        <w:tc>
          <w:tcPr>
            <w:tcW w:w="2073" w:type="dxa"/>
          </w:tcPr>
          <w:p w14:paraId="52028A1B" w14:textId="77777777" w:rsidR="007A40FD" w:rsidRDefault="007A40FD">
            <w:pPr>
              <w:rPr>
                <w:lang w:val="en-GB"/>
              </w:rPr>
            </w:pPr>
          </w:p>
        </w:tc>
        <w:tc>
          <w:tcPr>
            <w:tcW w:w="1028" w:type="dxa"/>
          </w:tcPr>
          <w:p w14:paraId="46790327" w14:textId="77777777" w:rsidR="007A40FD" w:rsidRDefault="007A40FD">
            <w:pPr>
              <w:rPr>
                <w:lang w:val="en-GB"/>
              </w:rPr>
            </w:pPr>
          </w:p>
        </w:tc>
        <w:tc>
          <w:tcPr>
            <w:tcW w:w="1631" w:type="dxa"/>
          </w:tcPr>
          <w:p w14:paraId="4E47567F" w14:textId="77777777" w:rsidR="007A40FD" w:rsidRDefault="007A40FD">
            <w:pPr>
              <w:rPr>
                <w:lang w:val="en-GB"/>
              </w:rPr>
            </w:pPr>
          </w:p>
        </w:tc>
        <w:tc>
          <w:tcPr>
            <w:tcW w:w="1196" w:type="dxa"/>
          </w:tcPr>
          <w:p w14:paraId="2B7AC4BD" w14:textId="5941D9A4" w:rsidR="007A40FD" w:rsidRDefault="007A40FD">
            <w:pPr>
              <w:rPr>
                <w:lang w:val="en-GB"/>
              </w:rPr>
            </w:pPr>
          </w:p>
        </w:tc>
        <w:tc>
          <w:tcPr>
            <w:tcW w:w="2110" w:type="dxa"/>
          </w:tcPr>
          <w:p w14:paraId="4535E666" w14:textId="7FBB67C3" w:rsidR="007A40FD" w:rsidRPr="00563002" w:rsidRDefault="007A40FD" w:rsidP="00563002">
            <w:pPr>
              <w:rPr>
                <w:rFonts w:cstheme="minorHAnsi"/>
                <w:b/>
                <w:bCs/>
                <w:color w:val="FF3399"/>
                <w:sz w:val="24"/>
                <w:szCs w:val="24"/>
                <w:highlight w:val="cyan"/>
                <w:shd w:val="clear" w:color="auto" w:fill="FFFFFF"/>
                <w:lang w:val="en-GB"/>
              </w:rPr>
            </w:pPr>
            <w:r w:rsidRPr="00563002">
              <w:rPr>
                <w:rFonts w:cstheme="minorHAnsi"/>
                <w:b/>
                <w:bCs/>
                <w:color w:val="FF3399"/>
                <w:sz w:val="24"/>
                <w:szCs w:val="24"/>
                <w:highlight w:val="cyan"/>
                <w:shd w:val="clear" w:color="auto" w:fill="FFFFFF"/>
                <w:lang w:val="en-GB"/>
              </w:rPr>
              <w:t>“</w:t>
            </w:r>
            <w:hyperlink r:id="rId8" w:tgtFrame="_blank" w:history="1">
              <w:r w:rsidRPr="00563002">
                <w:rPr>
                  <w:rFonts w:cstheme="minorHAnsi"/>
                  <w:b/>
                  <w:bCs/>
                  <w:color w:val="FF3399"/>
                  <w:sz w:val="24"/>
                  <w:szCs w:val="24"/>
                  <w:highlight w:val="cyan"/>
                  <w:shd w:val="clear" w:color="auto" w:fill="FFFFFF"/>
                  <w:lang w:val="en-GB"/>
                </w:rPr>
                <w:t>Zami: A New Spelling of My Name</w:t>
              </w:r>
            </w:hyperlink>
            <w:r w:rsidRPr="00563002">
              <w:rPr>
                <w:rFonts w:cstheme="minorHAnsi"/>
                <w:b/>
                <w:bCs/>
                <w:color w:val="FF3399"/>
                <w:sz w:val="24"/>
                <w:szCs w:val="24"/>
                <w:highlight w:val="cyan"/>
                <w:shd w:val="clear" w:color="auto" w:fill="FFFFFF"/>
                <w:lang w:val="en-GB"/>
              </w:rPr>
              <w:t>” Audre Lorde (1982)</w:t>
            </w:r>
          </w:p>
          <w:p w14:paraId="1FDA4AC6" w14:textId="77777777" w:rsidR="007A40FD" w:rsidRPr="00563002" w:rsidRDefault="007A40FD" w:rsidP="00563002">
            <w:pPr>
              <w:rPr>
                <w:rFonts w:cstheme="minorHAnsi"/>
                <w:b/>
                <w:bCs/>
                <w:color w:val="FF3399"/>
                <w:sz w:val="24"/>
                <w:szCs w:val="24"/>
                <w:highlight w:val="cyan"/>
                <w:shd w:val="clear" w:color="auto" w:fill="FFFFFF"/>
                <w:lang w:val="en-GB"/>
              </w:rPr>
            </w:pPr>
          </w:p>
        </w:tc>
        <w:tc>
          <w:tcPr>
            <w:tcW w:w="1088" w:type="dxa"/>
          </w:tcPr>
          <w:p w14:paraId="147345AE" w14:textId="77777777" w:rsidR="007A40FD" w:rsidRDefault="007A40FD">
            <w:pPr>
              <w:rPr>
                <w:lang w:val="en-GB"/>
              </w:rPr>
            </w:pPr>
          </w:p>
        </w:tc>
      </w:tr>
      <w:tr w:rsidR="00D761C7" w:rsidRPr="00446CEA" w14:paraId="4ED51F35" w14:textId="77777777" w:rsidTr="00D761C7">
        <w:tc>
          <w:tcPr>
            <w:tcW w:w="1254" w:type="dxa"/>
          </w:tcPr>
          <w:p w14:paraId="69F723B2" w14:textId="77777777" w:rsidR="0042559D" w:rsidRDefault="0042559D">
            <w:pPr>
              <w:rPr>
                <w:lang w:val="en-GB"/>
              </w:rPr>
            </w:pPr>
          </w:p>
        </w:tc>
        <w:tc>
          <w:tcPr>
            <w:tcW w:w="1223" w:type="dxa"/>
          </w:tcPr>
          <w:p w14:paraId="4921429A" w14:textId="77777777" w:rsidR="0042559D" w:rsidRDefault="0042559D">
            <w:pPr>
              <w:rPr>
                <w:lang w:val="en-GB"/>
              </w:rPr>
            </w:pPr>
          </w:p>
        </w:tc>
        <w:tc>
          <w:tcPr>
            <w:tcW w:w="1208" w:type="dxa"/>
          </w:tcPr>
          <w:p w14:paraId="1C04DDBF" w14:textId="77777777" w:rsidR="0042559D" w:rsidRDefault="0042559D">
            <w:pPr>
              <w:rPr>
                <w:lang w:val="en-GB"/>
              </w:rPr>
            </w:pPr>
          </w:p>
        </w:tc>
        <w:tc>
          <w:tcPr>
            <w:tcW w:w="1183" w:type="dxa"/>
          </w:tcPr>
          <w:p w14:paraId="01BBAD06" w14:textId="77777777" w:rsidR="0042559D" w:rsidRDefault="0042559D">
            <w:pPr>
              <w:rPr>
                <w:lang w:val="en-GB"/>
              </w:rPr>
            </w:pPr>
          </w:p>
        </w:tc>
        <w:tc>
          <w:tcPr>
            <w:tcW w:w="2073" w:type="dxa"/>
          </w:tcPr>
          <w:p w14:paraId="17E98158" w14:textId="77777777" w:rsidR="0042559D" w:rsidRDefault="0042559D">
            <w:pPr>
              <w:rPr>
                <w:lang w:val="en-GB"/>
              </w:rPr>
            </w:pPr>
          </w:p>
        </w:tc>
        <w:tc>
          <w:tcPr>
            <w:tcW w:w="1028" w:type="dxa"/>
          </w:tcPr>
          <w:p w14:paraId="7413CF5B" w14:textId="77777777" w:rsidR="0042559D" w:rsidRDefault="0042559D">
            <w:pPr>
              <w:rPr>
                <w:lang w:val="en-GB"/>
              </w:rPr>
            </w:pPr>
          </w:p>
        </w:tc>
        <w:tc>
          <w:tcPr>
            <w:tcW w:w="1631" w:type="dxa"/>
          </w:tcPr>
          <w:p w14:paraId="3706C45B" w14:textId="77777777" w:rsidR="0042559D" w:rsidRDefault="0042559D">
            <w:pPr>
              <w:rPr>
                <w:lang w:val="en-GB"/>
              </w:rPr>
            </w:pPr>
          </w:p>
        </w:tc>
        <w:tc>
          <w:tcPr>
            <w:tcW w:w="1196" w:type="dxa"/>
          </w:tcPr>
          <w:p w14:paraId="19A798EC" w14:textId="77777777" w:rsidR="0042559D" w:rsidRDefault="0042559D">
            <w:pPr>
              <w:rPr>
                <w:lang w:val="en-GB"/>
              </w:rPr>
            </w:pPr>
          </w:p>
        </w:tc>
        <w:tc>
          <w:tcPr>
            <w:tcW w:w="2110" w:type="dxa"/>
          </w:tcPr>
          <w:p w14:paraId="4DA2629C" w14:textId="246AB325" w:rsidR="0042559D" w:rsidRPr="00763422" w:rsidRDefault="0042559D" w:rsidP="00563002">
            <w:pPr>
              <w:rPr>
                <w:rFonts w:cstheme="minorHAnsi"/>
                <w:b/>
                <w:bCs/>
                <w:color w:val="FF3399"/>
                <w:sz w:val="24"/>
                <w:szCs w:val="24"/>
                <w:highlight w:val="cyan"/>
                <w:shd w:val="clear" w:color="auto" w:fill="FFFFFF"/>
                <w:lang w:val="en-GB"/>
              </w:rPr>
            </w:pPr>
            <w:r w:rsidRPr="00763422">
              <w:rPr>
                <w:rFonts w:cstheme="minorHAnsi"/>
                <w:b/>
                <w:bCs/>
                <w:color w:val="FF3399"/>
                <w:sz w:val="24"/>
                <w:szCs w:val="24"/>
                <w:highlight w:val="cyan"/>
                <w:shd w:val="clear" w:color="auto" w:fill="FFFFFF"/>
                <w:lang w:val="en-GB"/>
              </w:rPr>
              <w:t xml:space="preserve">“Fried Green Tomatoes at the Whistle Stop Café” </w:t>
            </w:r>
            <w:hyperlink r:id="rId9" w:history="1">
              <w:r w:rsidR="00763422" w:rsidRPr="00763422">
                <w:rPr>
                  <w:rFonts w:cstheme="minorHAnsi"/>
                  <w:b/>
                  <w:bCs/>
                  <w:color w:val="FF3399"/>
                  <w:sz w:val="24"/>
                  <w:szCs w:val="24"/>
                  <w:highlight w:val="cyan"/>
                  <w:lang w:val="en-GB"/>
                </w:rPr>
                <w:t>Fannie Flagg</w:t>
              </w:r>
            </w:hyperlink>
            <w:r w:rsidR="00763422" w:rsidRPr="00763422">
              <w:rPr>
                <w:rFonts w:cstheme="minorHAnsi"/>
                <w:b/>
                <w:bCs/>
                <w:color w:val="FF3399"/>
                <w:sz w:val="24"/>
                <w:szCs w:val="24"/>
                <w:highlight w:val="cyan"/>
                <w:shd w:val="clear" w:color="auto" w:fill="FFFFFF"/>
                <w:lang w:val="en-GB"/>
              </w:rPr>
              <w:t xml:space="preserve"> 1987</w:t>
            </w:r>
            <w:r w:rsidR="00763422" w:rsidRPr="00763422">
              <w:rPr>
                <w:rFonts w:ascii="Arial" w:hAnsi="Arial" w:cs="Arial"/>
                <w:color w:val="202122"/>
                <w:sz w:val="21"/>
                <w:szCs w:val="21"/>
                <w:shd w:val="clear" w:color="auto" w:fill="FFFFFF"/>
                <w:lang w:val="en-GB"/>
              </w:rPr>
              <w:t> </w:t>
            </w:r>
          </w:p>
        </w:tc>
        <w:tc>
          <w:tcPr>
            <w:tcW w:w="1088" w:type="dxa"/>
          </w:tcPr>
          <w:p w14:paraId="69ADE272" w14:textId="77777777" w:rsidR="0042559D" w:rsidRDefault="0042559D">
            <w:pPr>
              <w:rPr>
                <w:lang w:val="en-GB"/>
              </w:rPr>
            </w:pPr>
          </w:p>
        </w:tc>
      </w:tr>
    </w:tbl>
    <w:p w14:paraId="1F9D34C2" w14:textId="77777777" w:rsidR="00096F31" w:rsidRDefault="00096F31">
      <w:pPr>
        <w:rPr>
          <w:lang w:val="en-GB"/>
        </w:rPr>
      </w:pPr>
    </w:p>
    <w:p w14:paraId="2D5C5D08" w14:textId="26CF6D82" w:rsidR="00457030" w:rsidRDefault="00FD271C">
      <w:pPr>
        <w:rPr>
          <w:b/>
          <w:bCs/>
          <w:color w:val="FF3399"/>
          <w:sz w:val="24"/>
          <w:szCs w:val="24"/>
          <w:lang w:val="en-GB"/>
        </w:rPr>
      </w:pPr>
      <w:r w:rsidRPr="0062634C">
        <w:rPr>
          <w:b/>
          <w:bCs/>
          <w:color w:val="FF3399"/>
          <w:sz w:val="24"/>
          <w:szCs w:val="24"/>
          <w:lang w:val="en-GB"/>
        </w:rPr>
        <w:lastRenderedPageBreak/>
        <w:t>Directly lesbians</w:t>
      </w:r>
    </w:p>
    <w:p w14:paraId="0C2D7754" w14:textId="391B6BC0" w:rsidR="00563002" w:rsidRPr="0062634C" w:rsidRDefault="00563002">
      <w:pPr>
        <w:rPr>
          <w:b/>
          <w:bCs/>
          <w:color w:val="FF3399"/>
          <w:sz w:val="24"/>
          <w:szCs w:val="24"/>
          <w:lang w:val="en-GB"/>
        </w:rPr>
      </w:pPr>
      <w:r w:rsidRPr="00563002">
        <w:rPr>
          <w:b/>
          <w:bCs/>
          <w:color w:val="FF3399"/>
          <w:sz w:val="24"/>
          <w:szCs w:val="24"/>
          <w:highlight w:val="cyan"/>
          <w:lang w:val="en-GB"/>
        </w:rPr>
        <w:t>Directly lesbians</w:t>
      </w:r>
      <w:r>
        <w:rPr>
          <w:b/>
          <w:bCs/>
          <w:color w:val="FF3399"/>
          <w:sz w:val="24"/>
          <w:szCs w:val="24"/>
          <w:lang w:val="en-GB"/>
        </w:rPr>
        <w:t xml:space="preserve"> NOVELS</w:t>
      </w:r>
    </w:p>
    <w:p w14:paraId="2DB142AA" w14:textId="0A0308C7" w:rsidR="00FD271C" w:rsidRPr="0062634C" w:rsidRDefault="00FD271C">
      <w:pPr>
        <w:rPr>
          <w:b/>
          <w:bCs/>
          <w:color w:val="ED7D31" w:themeColor="accent2"/>
          <w:sz w:val="24"/>
          <w:szCs w:val="24"/>
          <w:lang w:val="en-GB"/>
        </w:rPr>
      </w:pPr>
      <w:r w:rsidRPr="0062634C">
        <w:rPr>
          <w:b/>
          <w:bCs/>
          <w:color w:val="ED7D31" w:themeColor="accent2"/>
          <w:sz w:val="24"/>
          <w:szCs w:val="24"/>
          <w:lang w:val="en-GB"/>
        </w:rPr>
        <w:t>Indirectly lesbians</w:t>
      </w:r>
    </w:p>
    <w:p w14:paraId="35C3F75D" w14:textId="31798BD6" w:rsidR="00457030" w:rsidRDefault="00457030">
      <w:pPr>
        <w:rPr>
          <w:rFonts w:ascii="PT Serif" w:hAnsi="PT Serif"/>
          <w:color w:val="111111"/>
          <w:shd w:val="clear" w:color="auto" w:fill="FFFFFF"/>
          <w:lang w:val="en-GB"/>
        </w:rPr>
      </w:pPr>
      <w:r w:rsidRPr="00170A0F">
        <w:rPr>
          <w:rFonts w:ascii="PT Serif" w:hAnsi="PT Serif"/>
          <w:color w:val="111111"/>
          <w:shd w:val="clear" w:color="auto" w:fill="FFFFFF"/>
          <w:lang w:val="en-GB"/>
        </w:rPr>
        <w:t>Terms such as </w:t>
      </w:r>
      <w:r w:rsidRPr="00170A0F">
        <w:rPr>
          <w:rStyle w:val="nfasis"/>
          <w:rFonts w:ascii="PT Serif" w:hAnsi="PT Serif"/>
          <w:color w:val="111111"/>
          <w:highlight w:val="yellow"/>
          <w:shd w:val="clear" w:color="auto" w:fill="FFFFFF"/>
          <w:lang w:val="en-GB"/>
        </w:rPr>
        <w:t>female friendships</w:t>
      </w:r>
      <w:r w:rsidRPr="00170A0F">
        <w:rPr>
          <w:rFonts w:ascii="PT Serif" w:hAnsi="PT Serif"/>
          <w:color w:val="111111"/>
          <w:shd w:val="clear" w:color="auto" w:fill="FFFFFF"/>
          <w:lang w:val="en-GB"/>
        </w:rPr>
        <w:t> and </w:t>
      </w:r>
      <w:r w:rsidRPr="00170A0F">
        <w:rPr>
          <w:rStyle w:val="nfasis"/>
          <w:rFonts w:ascii="PT Serif" w:hAnsi="PT Serif"/>
          <w:color w:val="111111"/>
          <w:highlight w:val="yellow"/>
          <w:shd w:val="clear" w:color="auto" w:fill="FFFFFF"/>
          <w:lang w:val="en-GB"/>
        </w:rPr>
        <w:t>Boston marriages</w:t>
      </w:r>
      <w:r w:rsidRPr="00170A0F">
        <w:rPr>
          <w:rStyle w:val="nfasis"/>
          <w:rFonts w:ascii="PT Serif" w:hAnsi="PT Serif"/>
          <w:color w:val="111111"/>
          <w:shd w:val="clear" w:color="auto" w:fill="FFFFFF"/>
          <w:lang w:val="en-GB"/>
        </w:rPr>
        <w:t>,</w:t>
      </w:r>
      <w:r w:rsidRPr="00170A0F">
        <w:rPr>
          <w:rFonts w:ascii="PT Serif" w:hAnsi="PT Serif"/>
          <w:color w:val="111111"/>
          <w:shd w:val="clear" w:color="auto" w:fill="FFFFFF"/>
          <w:lang w:val="en-GB"/>
        </w:rPr>
        <w:t xml:space="preserve"> both commonly used in the 19th century to describe intimacy between women, were quickly discarded in the early decades of the 20th century when </w:t>
      </w:r>
      <w:proofErr w:type="spellStart"/>
      <w:r w:rsidRPr="00170A0F">
        <w:rPr>
          <w:rFonts w:ascii="PT Serif" w:hAnsi="PT Serif"/>
          <w:color w:val="111111"/>
          <w:shd w:val="clear" w:color="auto" w:fill="FFFFFF"/>
          <w:lang w:val="en-GB"/>
        </w:rPr>
        <w:t>sexological</w:t>
      </w:r>
      <w:proofErr w:type="spellEnd"/>
      <w:r w:rsidRPr="00170A0F">
        <w:rPr>
          <w:rFonts w:ascii="PT Serif" w:hAnsi="PT Serif"/>
          <w:color w:val="111111"/>
          <w:shd w:val="clear" w:color="auto" w:fill="FFFFFF"/>
          <w:lang w:val="en-GB"/>
        </w:rPr>
        <w:t xml:space="preserve"> theories about the “female invert” reduced woman-to-woman intimacies, emotional or physical, to aberrant sexuality.</w:t>
      </w:r>
    </w:p>
    <w:p w14:paraId="40E1100F" w14:textId="671F48F4" w:rsidR="0032612C" w:rsidRDefault="0032612C">
      <w:pPr>
        <w:rPr>
          <w:rFonts w:ascii="PT Serif" w:hAnsi="PT Serif"/>
          <w:color w:val="111111"/>
          <w:shd w:val="clear" w:color="auto" w:fill="FFFFFF"/>
          <w:lang w:val="en-GB"/>
        </w:rPr>
      </w:pPr>
      <w:r w:rsidRPr="0032612C">
        <w:rPr>
          <w:rFonts w:ascii="PT Serif" w:hAnsi="PT Serif"/>
          <w:color w:val="111111"/>
          <w:highlight w:val="yellow"/>
          <w:shd w:val="clear" w:color="auto" w:fill="FFFFFF"/>
          <w:lang w:val="en-GB"/>
        </w:rPr>
        <w:t>New England “spinsters</w:t>
      </w:r>
      <w:r w:rsidRPr="00C70E64">
        <w:rPr>
          <w:rFonts w:ascii="PT Serif" w:hAnsi="PT Serif"/>
          <w:color w:val="111111"/>
          <w:shd w:val="clear" w:color="auto" w:fill="FFFFFF"/>
          <w:lang w:val="en-GB"/>
        </w:rPr>
        <w:t>”</w:t>
      </w:r>
      <w:r w:rsidR="00C70E64">
        <w:rPr>
          <w:rFonts w:ascii="PT Serif" w:hAnsi="PT Serif"/>
          <w:color w:val="111111"/>
          <w:shd w:val="clear" w:color="auto" w:fill="FFFFFF"/>
          <w:lang w:val="en-GB"/>
        </w:rPr>
        <w:t xml:space="preserve">, </w:t>
      </w:r>
      <w:r w:rsidR="00C70E64" w:rsidRPr="00C70E64">
        <w:rPr>
          <w:rFonts w:ascii="PT Serif" w:hAnsi="PT Serif"/>
          <w:color w:val="111111"/>
          <w:shd w:val="clear" w:color="auto" w:fill="FFFFFF"/>
          <w:lang w:val="en-GB"/>
        </w:rPr>
        <w:t>who, despite opportunity to marry, preferred to remain with each other in a “</w:t>
      </w:r>
      <w:r w:rsidR="00C70E64" w:rsidRPr="00C70E64">
        <w:rPr>
          <w:rFonts w:ascii="PT Serif" w:hAnsi="PT Serif"/>
          <w:color w:val="111111"/>
          <w:highlight w:val="yellow"/>
          <w:shd w:val="clear" w:color="auto" w:fill="FFFFFF"/>
          <w:lang w:val="en-GB"/>
        </w:rPr>
        <w:t>Boston marriage</w:t>
      </w:r>
      <w:r w:rsidR="00C70E64" w:rsidRPr="00C70E64">
        <w:rPr>
          <w:rFonts w:ascii="PT Serif" w:hAnsi="PT Serif"/>
          <w:color w:val="111111"/>
          <w:shd w:val="clear" w:color="auto" w:fill="FFFFFF"/>
          <w:lang w:val="en-GB"/>
        </w:rPr>
        <w:t>.”</w:t>
      </w:r>
    </w:p>
    <w:p w14:paraId="7FB7DD4B" w14:textId="3FBA7A95" w:rsidR="007C7CB6" w:rsidRPr="00242A9A" w:rsidRDefault="00242A9A">
      <w:pPr>
        <w:rPr>
          <w:rFonts w:ascii="PT Serif" w:hAnsi="PT Serif"/>
          <w:color w:val="111111"/>
          <w:shd w:val="clear" w:color="auto" w:fill="FFFFFF"/>
          <w:lang w:val="en-GB"/>
        </w:rPr>
      </w:pPr>
      <w:r w:rsidRPr="00242A9A">
        <w:rPr>
          <w:rFonts w:ascii="PT Serif" w:hAnsi="PT Serif"/>
          <w:color w:val="111111"/>
          <w:shd w:val="clear" w:color="auto" w:fill="FFFFFF"/>
          <w:lang w:val="en-GB"/>
        </w:rPr>
        <w:t>Often the plot focused on one of the seemingly innumerable “crushes” or “smashes” or “spoons” that developed between two female students, usually of different ages.</w:t>
      </w:r>
    </w:p>
    <w:p w14:paraId="4766D9D3" w14:textId="06F0D4F4" w:rsidR="0032612C" w:rsidRPr="00156473" w:rsidRDefault="00156473">
      <w:pPr>
        <w:rPr>
          <w:rFonts w:ascii="PT Serif" w:hAnsi="PT Serif"/>
          <w:color w:val="111111"/>
          <w:shd w:val="clear" w:color="auto" w:fill="FFFFFF"/>
          <w:lang w:val="en-GB"/>
        </w:rPr>
      </w:pPr>
      <w:r w:rsidRPr="00156473">
        <w:rPr>
          <w:rFonts w:ascii="PT Serif" w:hAnsi="PT Serif"/>
          <w:color w:val="111111"/>
          <w:shd w:val="clear" w:color="auto" w:fill="FFFFFF"/>
          <w:lang w:val="en-GB"/>
        </w:rPr>
        <w:t>When she did resurface in American fiction, it was in the pulp novels of the 1950s and 1960s.</w:t>
      </w:r>
    </w:p>
    <w:p w14:paraId="16C2587B" w14:textId="5C2ABB23" w:rsidR="00156473" w:rsidRDefault="00303BD4">
      <w:pPr>
        <w:rPr>
          <w:rFonts w:ascii="PT Serif" w:hAnsi="PT Serif"/>
          <w:color w:val="111111"/>
          <w:shd w:val="clear" w:color="auto" w:fill="FFFFFF"/>
          <w:lang w:val="en-GB"/>
        </w:rPr>
      </w:pPr>
      <w:r w:rsidRPr="00303BD4">
        <w:rPr>
          <w:rFonts w:ascii="PT Serif" w:hAnsi="PT Serif"/>
          <w:color w:val="111111"/>
          <w:shd w:val="clear" w:color="auto" w:fill="FFFFFF"/>
          <w:lang w:val="en-GB"/>
        </w:rPr>
        <w:t>During the 1970s, however, in the hands of women who were involved in the awakening politics of feminism, civil rights, and gay liberation, the lesbian in the American short story began to enjoy a more liberated existence; through the rise of feminist bookstores, journals, and publishing houses, she was given a space in which to thrive.</w:t>
      </w:r>
    </w:p>
    <w:p w14:paraId="19F7C24E" w14:textId="77777777" w:rsidR="00303BD4" w:rsidRDefault="00303BD4">
      <w:pPr>
        <w:rPr>
          <w:rFonts w:ascii="PT Serif" w:hAnsi="PT Serif"/>
          <w:color w:val="111111"/>
          <w:shd w:val="clear" w:color="auto" w:fill="FFFFFF"/>
          <w:lang w:val="en-GB"/>
        </w:rPr>
      </w:pPr>
    </w:p>
    <w:p w14:paraId="1F6C8FDD" w14:textId="77777777" w:rsidR="00303BD4" w:rsidRPr="00303BD4" w:rsidRDefault="00303BD4">
      <w:pPr>
        <w:rPr>
          <w:rFonts w:ascii="PT Serif" w:hAnsi="PT Serif"/>
          <w:color w:val="111111"/>
          <w:shd w:val="clear" w:color="auto" w:fill="FFFFFF"/>
          <w:lang w:val="en-GB"/>
        </w:rPr>
      </w:pPr>
    </w:p>
    <w:p w14:paraId="7F784B3E" w14:textId="00F93866" w:rsidR="00A05717" w:rsidRPr="007C7CB6" w:rsidRDefault="00A05717">
      <w:pPr>
        <w:rPr>
          <w:rFonts w:ascii="PT Serif" w:hAnsi="PT Serif"/>
          <w:color w:val="111111"/>
          <w:sz w:val="32"/>
          <w:szCs w:val="32"/>
          <w:shd w:val="clear" w:color="auto" w:fill="FFFFFF"/>
          <w:lang w:val="en-GB"/>
        </w:rPr>
      </w:pPr>
      <w:r w:rsidRPr="007C7CB6">
        <w:rPr>
          <w:rFonts w:ascii="PT Serif" w:hAnsi="PT Serif"/>
          <w:color w:val="111111"/>
          <w:sz w:val="32"/>
          <w:szCs w:val="32"/>
          <w:shd w:val="clear" w:color="auto" w:fill="FFFFFF"/>
          <w:lang w:val="en-GB"/>
        </w:rPr>
        <w:t>ESSAYS:</w:t>
      </w:r>
      <w:r w:rsidR="003C59C1" w:rsidRPr="007C7CB6">
        <w:rPr>
          <w:rFonts w:ascii="PT Serif" w:hAnsi="PT Serif"/>
          <w:color w:val="111111"/>
          <w:sz w:val="32"/>
          <w:szCs w:val="32"/>
          <w:shd w:val="clear" w:color="auto" w:fill="FFFFFF"/>
          <w:lang w:val="en-GB"/>
        </w:rPr>
        <w:t xml:space="preserve"> </w:t>
      </w:r>
    </w:p>
    <w:p w14:paraId="24B602B8" w14:textId="57E2A683" w:rsidR="003C59C1" w:rsidRDefault="003C59C1" w:rsidP="003C59C1">
      <w:pPr>
        <w:rPr>
          <w:rFonts w:ascii="PT Serif" w:hAnsi="PT Serif"/>
          <w:color w:val="111111"/>
          <w:shd w:val="clear" w:color="auto" w:fill="FFFFFF"/>
          <w:lang w:val="en-GB"/>
        </w:rPr>
      </w:pPr>
      <w:r w:rsidRPr="001A75F3">
        <w:rPr>
          <w:rFonts w:ascii="PT Serif" w:hAnsi="PT Serif"/>
          <w:color w:val="111111"/>
          <w:shd w:val="clear" w:color="auto" w:fill="FFFFFF"/>
          <w:lang w:val="en-GB"/>
        </w:rPr>
        <w:t>Adrienne Rich’s “Compulsory Heterosexuality and Lesbian Existence” (</w:t>
      </w:r>
      <w:r w:rsidR="00170A0F" w:rsidRPr="001A75F3">
        <w:rPr>
          <w:rFonts w:ascii="PT Serif" w:hAnsi="PT Serif"/>
          <w:color w:val="111111"/>
          <w:shd w:val="clear" w:color="auto" w:fill="FFFFFF"/>
          <w:lang w:val="en-GB"/>
        </w:rPr>
        <w:t>1980</w:t>
      </w:r>
      <w:r w:rsidRPr="001A75F3">
        <w:rPr>
          <w:rFonts w:ascii="PT Serif" w:hAnsi="PT Serif"/>
          <w:color w:val="111111"/>
          <w:shd w:val="clear" w:color="auto" w:fill="FFFFFF"/>
          <w:lang w:val="en-GB"/>
        </w:rPr>
        <w:t>)</w:t>
      </w:r>
      <w:r w:rsidR="00170A0F" w:rsidRPr="001A75F3">
        <w:rPr>
          <w:rFonts w:ascii="PT Serif" w:hAnsi="PT Serif"/>
          <w:color w:val="111111"/>
          <w:shd w:val="clear" w:color="auto" w:fill="FFFFFF"/>
          <w:lang w:val="en-GB"/>
        </w:rPr>
        <w:t>: Lesbian visibility.</w:t>
      </w:r>
      <w:r w:rsidR="001A75F3" w:rsidRPr="001A75F3">
        <w:rPr>
          <w:rFonts w:ascii="PT Serif" w:hAnsi="PT Serif"/>
          <w:color w:val="111111"/>
          <w:shd w:val="clear" w:color="auto" w:fill="FFFFFF"/>
          <w:lang w:val="en-GB"/>
        </w:rPr>
        <w:t xml:space="preserve"> “</w:t>
      </w:r>
      <w:proofErr w:type="gramStart"/>
      <w:r w:rsidR="001A75F3" w:rsidRPr="001A75F3">
        <w:rPr>
          <w:rFonts w:ascii="Arial" w:hAnsi="Arial" w:cs="Arial"/>
          <w:color w:val="202122"/>
          <w:sz w:val="21"/>
          <w:szCs w:val="21"/>
          <w:shd w:val="clear" w:color="auto" w:fill="FFFFFF"/>
          <w:lang w:val="en-GB"/>
        </w:rPr>
        <w:t>as</w:t>
      </w:r>
      <w:proofErr w:type="gramEnd"/>
      <w:r w:rsidR="001A75F3" w:rsidRPr="001A75F3">
        <w:rPr>
          <w:rFonts w:ascii="Arial" w:hAnsi="Arial" w:cs="Arial"/>
          <w:color w:val="202122"/>
          <w:sz w:val="21"/>
          <w:szCs w:val="21"/>
          <w:shd w:val="clear" w:color="auto" w:fill="FFFFFF"/>
          <w:lang w:val="en-GB"/>
        </w:rPr>
        <w:t xml:space="preserve"> a part of the </w:t>
      </w:r>
      <w:hyperlink r:id="rId10" w:tooltip="Radical feminism" w:history="1">
        <w:r w:rsidR="001A75F3" w:rsidRPr="001A75F3">
          <w:rPr>
            <w:rStyle w:val="Hipervnculo"/>
            <w:rFonts w:ascii="Arial" w:hAnsi="Arial" w:cs="Arial"/>
            <w:color w:val="0645AD"/>
            <w:sz w:val="21"/>
            <w:szCs w:val="21"/>
            <w:shd w:val="clear" w:color="auto" w:fill="FFFFFF"/>
            <w:lang w:val="en-GB"/>
          </w:rPr>
          <w:t>radical feminism</w:t>
        </w:r>
      </w:hyperlink>
      <w:r w:rsidR="001A75F3" w:rsidRPr="001A75F3">
        <w:rPr>
          <w:rFonts w:ascii="Arial" w:hAnsi="Arial" w:cs="Arial"/>
          <w:color w:val="202122"/>
          <w:sz w:val="21"/>
          <w:szCs w:val="21"/>
          <w:shd w:val="clear" w:color="auto" w:fill="FFFFFF"/>
          <w:lang w:val="en-GB"/>
        </w:rPr>
        <w:t> movement</w:t>
      </w:r>
      <w:r w:rsidR="001A75F3" w:rsidRPr="001A75F3">
        <w:rPr>
          <w:rFonts w:ascii="PT Serif" w:hAnsi="PT Serif"/>
          <w:color w:val="111111"/>
          <w:shd w:val="clear" w:color="auto" w:fill="FFFFFF"/>
          <w:lang w:val="en-GB"/>
        </w:rPr>
        <w:t>”</w:t>
      </w:r>
      <w:r w:rsidR="001A75F3">
        <w:rPr>
          <w:rFonts w:ascii="PT Serif" w:hAnsi="PT Serif"/>
          <w:color w:val="111111"/>
          <w:shd w:val="clear" w:color="auto" w:fill="FFFFFF"/>
          <w:lang w:val="en-GB"/>
        </w:rPr>
        <w:t>.</w:t>
      </w:r>
    </w:p>
    <w:p w14:paraId="511163A4" w14:textId="55B444F8" w:rsidR="00D65EFA" w:rsidRDefault="00D65EFA" w:rsidP="003C59C1">
      <w:pPr>
        <w:rPr>
          <w:rFonts w:ascii="PT Serif" w:hAnsi="PT Serif"/>
          <w:color w:val="111111"/>
          <w:shd w:val="clear" w:color="auto" w:fill="FFFFFF"/>
          <w:lang w:val="en-GB"/>
        </w:rPr>
      </w:pPr>
      <w:r w:rsidRPr="003935E2">
        <w:rPr>
          <w:rFonts w:ascii="PT Serif" w:hAnsi="PT Serif"/>
          <w:color w:val="FF0000"/>
          <w:shd w:val="clear" w:color="auto" w:fill="FFFFFF"/>
          <w:lang w:val="en-GB"/>
        </w:rPr>
        <w:t xml:space="preserve">Havelock Ellis’s </w:t>
      </w:r>
      <w:r w:rsidRPr="003935E2">
        <w:rPr>
          <w:rFonts w:ascii="PT Serif" w:hAnsi="PT Serif"/>
          <w:color w:val="111111"/>
          <w:shd w:val="clear" w:color="auto" w:fill="FFFFFF"/>
          <w:lang w:val="en-GB"/>
        </w:rPr>
        <w:t>1902</w:t>
      </w:r>
      <w:r w:rsidR="003935E2" w:rsidRPr="003935E2">
        <w:rPr>
          <w:rFonts w:ascii="PT Serif" w:hAnsi="PT Serif"/>
          <w:color w:val="111111"/>
          <w:shd w:val="clear" w:color="auto" w:fill="FFFFFF"/>
          <w:lang w:val="en-GB"/>
        </w:rPr>
        <w:t xml:space="preserve">“The </w:t>
      </w:r>
      <w:proofErr w:type="spellStart"/>
      <w:r w:rsidR="003935E2" w:rsidRPr="003935E2">
        <w:rPr>
          <w:rFonts w:ascii="PT Serif" w:hAnsi="PT Serif"/>
          <w:color w:val="111111"/>
          <w:shd w:val="clear" w:color="auto" w:fill="FFFFFF"/>
          <w:lang w:val="en-GB"/>
        </w:rPr>
        <w:t>SchoolFriendships</w:t>
      </w:r>
      <w:proofErr w:type="spellEnd"/>
      <w:r w:rsidR="003935E2" w:rsidRPr="003935E2">
        <w:rPr>
          <w:rFonts w:ascii="PT Serif" w:hAnsi="PT Serif"/>
          <w:color w:val="111111"/>
          <w:shd w:val="clear" w:color="auto" w:fill="FFFFFF"/>
          <w:lang w:val="en-GB"/>
        </w:rPr>
        <w:t xml:space="preserve"> of Girls,” Ellis suggests that lesbianism is an “abnormality” that affected any woman who had a “crush”; according to “authorities,” this entailed more than 60 percent of students at women’s colleges. </w:t>
      </w:r>
    </w:p>
    <w:p w14:paraId="75369FEE" w14:textId="7B5A72B9" w:rsidR="009837D6" w:rsidRPr="009837D6" w:rsidRDefault="009837D6" w:rsidP="003C59C1">
      <w:pPr>
        <w:rPr>
          <w:rFonts w:ascii="PT Serif" w:hAnsi="PT Serif"/>
          <w:color w:val="111111"/>
          <w:shd w:val="clear" w:color="auto" w:fill="FFFFFF"/>
          <w:lang w:val="en-GB"/>
        </w:rPr>
      </w:pPr>
      <w:r w:rsidRPr="009837D6">
        <w:rPr>
          <w:rFonts w:ascii="Arial" w:hAnsi="Arial" w:cs="Arial"/>
          <w:color w:val="202122"/>
          <w:sz w:val="21"/>
          <w:szCs w:val="21"/>
          <w:shd w:val="clear" w:color="auto" w:fill="FFFFFF"/>
          <w:lang w:val="en-GB"/>
        </w:rPr>
        <w:t> </w:t>
      </w:r>
      <w:hyperlink r:id="rId11" w:tooltip="Mildred J. Berryman" w:history="1">
        <w:r w:rsidRPr="009837D6">
          <w:rPr>
            <w:rStyle w:val="Hipervnculo"/>
            <w:rFonts w:ascii="Arial" w:hAnsi="Arial" w:cs="Arial"/>
            <w:color w:val="0645AD"/>
            <w:sz w:val="21"/>
            <w:szCs w:val="21"/>
            <w:shd w:val="clear" w:color="auto" w:fill="FFFFFF"/>
            <w:lang w:val="en-GB"/>
          </w:rPr>
          <w:t>Mildred Berryman's</w:t>
        </w:r>
      </w:hyperlink>
      <w:r w:rsidRPr="009837D6">
        <w:rPr>
          <w:rFonts w:ascii="Arial" w:hAnsi="Arial" w:cs="Arial"/>
          <w:color w:val="202122"/>
          <w:sz w:val="21"/>
          <w:szCs w:val="21"/>
          <w:shd w:val="clear" w:color="auto" w:fill="FFFFFF"/>
          <w:lang w:val="en-GB"/>
        </w:rPr>
        <w:t xml:space="preserve"> 1930's </w:t>
      </w:r>
      <w:proofErr w:type="spellStart"/>
      <w:r w:rsidRPr="009837D6">
        <w:rPr>
          <w:rFonts w:ascii="Arial" w:hAnsi="Arial" w:cs="Arial"/>
          <w:color w:val="202122"/>
          <w:sz w:val="21"/>
          <w:szCs w:val="21"/>
          <w:shd w:val="clear" w:color="auto" w:fill="FFFFFF"/>
          <w:lang w:val="en-GB"/>
        </w:rPr>
        <w:t>groundbreaking</w:t>
      </w:r>
      <w:proofErr w:type="spellEnd"/>
      <w:r>
        <w:rPr>
          <w:rFonts w:ascii="Arial" w:hAnsi="Arial" w:cs="Arial"/>
          <w:color w:val="202122"/>
          <w:sz w:val="17"/>
          <w:szCs w:val="17"/>
          <w:shd w:val="clear" w:color="auto" w:fill="FFFFFF"/>
          <w:vertAlign w:val="superscript"/>
        </w:rPr>
        <w:fldChar w:fldCharType="begin"/>
      </w:r>
      <w:r w:rsidRPr="009837D6">
        <w:rPr>
          <w:rFonts w:ascii="Arial" w:hAnsi="Arial" w:cs="Arial"/>
          <w:color w:val="202122"/>
          <w:sz w:val="17"/>
          <w:szCs w:val="17"/>
          <w:shd w:val="clear" w:color="auto" w:fill="FFFFFF"/>
          <w:vertAlign w:val="superscript"/>
          <w:lang w:val="en-GB"/>
        </w:rPr>
        <w:instrText xml:space="preserve"> HYPERLINK "https://en.wikipedia.org/wiki/History_of_lesbianism_in_the_United_States" \l "cite_note-Study-24" </w:instrText>
      </w:r>
      <w:r>
        <w:rPr>
          <w:rFonts w:ascii="Arial" w:hAnsi="Arial" w:cs="Arial"/>
          <w:color w:val="202122"/>
          <w:sz w:val="17"/>
          <w:szCs w:val="17"/>
          <w:shd w:val="clear" w:color="auto" w:fill="FFFFFF"/>
          <w:vertAlign w:val="superscript"/>
        </w:rPr>
      </w:r>
      <w:r>
        <w:rPr>
          <w:rFonts w:ascii="Arial" w:hAnsi="Arial" w:cs="Arial"/>
          <w:color w:val="202122"/>
          <w:sz w:val="17"/>
          <w:szCs w:val="17"/>
          <w:shd w:val="clear" w:color="auto" w:fill="FFFFFF"/>
          <w:vertAlign w:val="superscript"/>
        </w:rPr>
        <w:fldChar w:fldCharType="separate"/>
      </w:r>
      <w:r w:rsidRPr="009837D6">
        <w:rPr>
          <w:rStyle w:val="Hipervnculo"/>
          <w:rFonts w:ascii="Arial" w:hAnsi="Arial" w:cs="Arial"/>
          <w:color w:val="0645AD"/>
          <w:sz w:val="17"/>
          <w:szCs w:val="17"/>
          <w:shd w:val="clear" w:color="auto" w:fill="FFFFFF"/>
          <w:vertAlign w:val="superscript"/>
          <w:lang w:val="en-GB"/>
        </w:rPr>
        <w:t>[24]</w:t>
      </w:r>
      <w:r>
        <w:rPr>
          <w:rFonts w:ascii="Arial" w:hAnsi="Arial" w:cs="Arial"/>
          <w:color w:val="202122"/>
          <w:sz w:val="17"/>
          <w:szCs w:val="17"/>
          <w:shd w:val="clear" w:color="auto" w:fill="FFFFFF"/>
          <w:vertAlign w:val="superscript"/>
        </w:rPr>
        <w:fldChar w:fldCharType="end"/>
      </w:r>
      <w:r w:rsidRPr="009837D6">
        <w:rPr>
          <w:rFonts w:ascii="Arial" w:hAnsi="Arial" w:cs="Arial"/>
          <w:color w:val="202122"/>
          <w:sz w:val="17"/>
          <w:szCs w:val="17"/>
          <w:shd w:val="clear" w:color="auto" w:fill="FFFFFF"/>
          <w:vertAlign w:val="superscript"/>
          <w:lang w:val="en-GB"/>
        </w:rPr>
        <w:t>: 897–898 </w:t>
      </w:r>
      <w:hyperlink r:id="rId12" w:anchor="cite_note-Mildred-25" w:history="1">
        <w:r w:rsidRPr="009837D6">
          <w:rPr>
            <w:rStyle w:val="Hipervnculo"/>
            <w:rFonts w:ascii="Arial" w:hAnsi="Arial" w:cs="Arial"/>
            <w:color w:val="0645AD"/>
            <w:sz w:val="17"/>
            <w:szCs w:val="17"/>
            <w:shd w:val="clear" w:color="auto" w:fill="FFFFFF"/>
            <w:vertAlign w:val="superscript"/>
            <w:lang w:val="en-GB"/>
          </w:rPr>
          <w:t>[25]</w:t>
        </w:r>
      </w:hyperlink>
      <w:r w:rsidRPr="009837D6">
        <w:rPr>
          <w:rFonts w:ascii="Arial" w:hAnsi="Arial" w:cs="Arial"/>
          <w:color w:val="202122"/>
          <w:sz w:val="21"/>
          <w:szCs w:val="21"/>
          <w:shd w:val="clear" w:color="auto" w:fill="FFFFFF"/>
          <w:lang w:val="en-GB"/>
        </w:rPr>
        <w:t> </w:t>
      </w:r>
      <w:r w:rsidRPr="009837D6">
        <w:rPr>
          <w:rFonts w:ascii="Arial" w:hAnsi="Arial" w:cs="Arial"/>
          <w:i/>
          <w:iCs/>
          <w:color w:val="202122"/>
          <w:sz w:val="21"/>
          <w:szCs w:val="21"/>
          <w:shd w:val="clear" w:color="auto" w:fill="FFFFFF"/>
          <w:lang w:val="en-GB"/>
        </w:rPr>
        <w:t>The Psychological Phenomena of the Homosexual</w:t>
      </w:r>
      <w:hyperlink r:id="rId13" w:anchor="cite_note-Dynamics-26" w:history="1">
        <w:r w:rsidRPr="009837D6">
          <w:rPr>
            <w:rStyle w:val="Hipervnculo"/>
            <w:rFonts w:ascii="Arial" w:hAnsi="Arial" w:cs="Arial"/>
            <w:color w:val="0645AD"/>
            <w:sz w:val="17"/>
            <w:szCs w:val="17"/>
            <w:shd w:val="clear" w:color="auto" w:fill="FFFFFF"/>
            <w:vertAlign w:val="superscript"/>
            <w:lang w:val="en-GB"/>
          </w:rPr>
          <w:t>[26]</w:t>
        </w:r>
      </w:hyperlink>
      <w:r w:rsidRPr="009837D6">
        <w:rPr>
          <w:rFonts w:ascii="Arial" w:hAnsi="Arial" w:cs="Arial"/>
          <w:color w:val="202122"/>
          <w:sz w:val="17"/>
          <w:szCs w:val="17"/>
          <w:shd w:val="clear" w:color="auto" w:fill="FFFFFF"/>
          <w:vertAlign w:val="superscript"/>
          <w:lang w:val="en-GB"/>
        </w:rPr>
        <w:t>: 223, 228 </w:t>
      </w:r>
      <w:r w:rsidRPr="009837D6">
        <w:rPr>
          <w:rFonts w:ascii="Arial" w:hAnsi="Arial" w:cs="Arial"/>
          <w:color w:val="202122"/>
          <w:sz w:val="21"/>
          <w:szCs w:val="21"/>
          <w:shd w:val="clear" w:color="auto" w:fill="FFFFFF"/>
          <w:lang w:val="en-GB"/>
        </w:rPr>
        <w:t> on 23 lesbian women</w:t>
      </w:r>
    </w:p>
    <w:p w14:paraId="04F2C45B" w14:textId="33F4D065" w:rsidR="003935E2" w:rsidRDefault="003935E2" w:rsidP="003C59C1">
      <w:pPr>
        <w:rPr>
          <w:rFonts w:ascii="PT Serif" w:hAnsi="PT Serif"/>
          <w:color w:val="111111"/>
          <w:shd w:val="clear" w:color="auto" w:fill="FFFFFF"/>
          <w:lang w:val="en-GB"/>
        </w:rPr>
      </w:pPr>
    </w:p>
    <w:p w14:paraId="6BF21574" w14:textId="0FEA602A" w:rsidR="007C7CB6" w:rsidRPr="007C7CB6" w:rsidRDefault="007C7CB6" w:rsidP="003C59C1">
      <w:pPr>
        <w:rPr>
          <w:rFonts w:ascii="PT Serif" w:hAnsi="PT Serif"/>
          <w:color w:val="111111"/>
          <w:sz w:val="32"/>
          <w:szCs w:val="32"/>
          <w:shd w:val="clear" w:color="auto" w:fill="FFFFFF"/>
          <w:lang w:val="en-GB"/>
        </w:rPr>
      </w:pPr>
      <w:r w:rsidRPr="007C7CB6">
        <w:rPr>
          <w:rFonts w:ascii="PT Serif" w:hAnsi="PT Serif"/>
          <w:color w:val="111111"/>
          <w:sz w:val="32"/>
          <w:szCs w:val="32"/>
          <w:shd w:val="clear" w:color="auto" w:fill="FFFFFF"/>
          <w:lang w:val="en-GB"/>
        </w:rPr>
        <w:lastRenderedPageBreak/>
        <w:t>EXTRA:</w:t>
      </w:r>
    </w:p>
    <w:p w14:paraId="6D35269C" w14:textId="78183CC3" w:rsidR="007C7CB6" w:rsidRDefault="007C7CB6" w:rsidP="003C59C1">
      <w:pPr>
        <w:rPr>
          <w:rFonts w:ascii="PT Serif" w:hAnsi="PT Serif"/>
          <w:color w:val="111111"/>
          <w:shd w:val="clear" w:color="auto" w:fill="FFFFFF"/>
          <w:lang w:val="en-GB"/>
        </w:rPr>
      </w:pPr>
      <w:r w:rsidRPr="007C7CB6">
        <w:rPr>
          <w:rFonts w:ascii="PT Serif" w:hAnsi="PT Serif"/>
          <w:color w:val="111111"/>
          <w:shd w:val="clear" w:color="auto" w:fill="FFFFFF"/>
          <w:lang w:val="en-GB"/>
        </w:rPr>
        <w:t>Two stories published in popular periodicals examine liaisons within the girls’ school: “The Lass of the Silver Sword” by Mary Constance Dubois (published serially in St. Nicholas in 1908–1909) and Jeanette Lee’s “The Cat and the King” (published in the Ladies’ Home Journal in 1919).</w:t>
      </w:r>
    </w:p>
    <w:p w14:paraId="5DD66B2A" w14:textId="56A09263" w:rsidR="00EE118A" w:rsidRDefault="00EE118A" w:rsidP="003C59C1">
      <w:pPr>
        <w:rPr>
          <w:rFonts w:ascii="PT Serif" w:hAnsi="PT Serif"/>
          <w:color w:val="111111"/>
          <w:shd w:val="clear" w:color="auto" w:fill="FFFFFF"/>
          <w:lang w:val="en-GB"/>
        </w:rPr>
      </w:pPr>
      <w:r w:rsidRPr="00EE118A">
        <w:rPr>
          <w:rFonts w:ascii="PT Serif" w:hAnsi="PT Serif"/>
          <w:color w:val="111111"/>
          <w:shd w:val="clear" w:color="auto" w:fill="FFFFFF"/>
          <w:lang w:val="en-GB"/>
        </w:rPr>
        <w:t xml:space="preserve">In 1970 the New York group </w:t>
      </w:r>
      <w:proofErr w:type="spellStart"/>
      <w:r w:rsidRPr="00EE118A">
        <w:rPr>
          <w:rFonts w:ascii="PT Serif" w:hAnsi="PT Serif"/>
          <w:color w:val="111111"/>
          <w:shd w:val="clear" w:color="auto" w:fill="FFFFFF"/>
          <w:lang w:val="en-GB"/>
        </w:rPr>
        <w:t>Radicalesbians</w:t>
      </w:r>
      <w:proofErr w:type="spellEnd"/>
      <w:r w:rsidRPr="00EE118A">
        <w:rPr>
          <w:rFonts w:ascii="PT Serif" w:hAnsi="PT Serif"/>
          <w:color w:val="111111"/>
          <w:shd w:val="clear" w:color="auto" w:fill="FFFFFF"/>
          <w:lang w:val="en-GB"/>
        </w:rPr>
        <w:t xml:space="preserve"> distributed a pamphlet that began with the question “What is a lesbian?” As answer they wrote, in part: “A lesbian is the rage of all women condensed to the point of explosion</w:t>
      </w:r>
      <w:proofErr w:type="gramStart"/>
      <w:r w:rsidRPr="00EE118A">
        <w:rPr>
          <w:rFonts w:ascii="PT Serif" w:hAnsi="PT Serif"/>
          <w:color w:val="111111"/>
          <w:shd w:val="clear" w:color="auto" w:fill="FFFFFF"/>
          <w:lang w:val="en-GB"/>
        </w:rPr>
        <w:t>. . . .</w:t>
      </w:r>
      <w:proofErr w:type="gramEnd"/>
      <w:r w:rsidRPr="00EE118A">
        <w:rPr>
          <w:rFonts w:ascii="PT Serif" w:hAnsi="PT Serif"/>
          <w:color w:val="111111"/>
          <w:shd w:val="clear" w:color="auto" w:fill="FFFFFF"/>
          <w:lang w:val="en-GB"/>
        </w:rPr>
        <w:t xml:space="preserve"> She may not be fully conscious of the political implications of what for her began as personal necessity, but on the same level she has not been able to accept the limitations and oppression laid on her by the most basic role of her society—the female role.”</w:t>
      </w:r>
    </w:p>
    <w:p w14:paraId="7D593957" w14:textId="77777777" w:rsidR="00CF0BAB" w:rsidRDefault="00CF0BAB" w:rsidP="003C59C1">
      <w:pPr>
        <w:rPr>
          <w:rFonts w:ascii="PT Serif" w:hAnsi="PT Serif"/>
          <w:color w:val="111111"/>
          <w:shd w:val="clear" w:color="auto" w:fill="FFFFFF"/>
          <w:lang w:val="en-GB"/>
        </w:rPr>
      </w:pPr>
    </w:p>
    <w:p w14:paraId="1FFA9577" w14:textId="77777777" w:rsidR="00CF0BAB" w:rsidRDefault="00CF0BAB" w:rsidP="003C59C1">
      <w:pPr>
        <w:rPr>
          <w:rFonts w:ascii="PT Serif" w:hAnsi="PT Serif"/>
          <w:color w:val="111111"/>
          <w:shd w:val="clear" w:color="auto" w:fill="FFFFFF"/>
          <w:lang w:val="en-GB"/>
        </w:rPr>
      </w:pPr>
    </w:p>
    <w:p w14:paraId="47F24B1A" w14:textId="7789819D" w:rsidR="00CF0BAB" w:rsidRPr="00CF0BAB" w:rsidRDefault="00CF0BAB" w:rsidP="003C59C1">
      <w:pPr>
        <w:rPr>
          <w:rFonts w:ascii="PT Serif" w:hAnsi="PT Serif"/>
          <w:color w:val="111111"/>
          <w:shd w:val="clear" w:color="auto" w:fill="FFFFFF"/>
          <w:lang w:val="en-GB"/>
        </w:rPr>
      </w:pPr>
      <w:r w:rsidRPr="00CF0BAB">
        <w:rPr>
          <w:rFonts w:ascii="System" w:hAnsi="System"/>
          <w:color w:val="1E1E1E"/>
          <w:sz w:val="30"/>
          <w:szCs w:val="30"/>
          <w:shd w:val="clear" w:color="auto" w:fill="FFFFFF"/>
          <w:lang w:val="en-GB"/>
        </w:rPr>
        <w:t xml:space="preserve">Gertrude Stein, Alice Walker, </w:t>
      </w:r>
      <w:proofErr w:type="spellStart"/>
      <w:r w:rsidRPr="00CF0BAB">
        <w:rPr>
          <w:rFonts w:ascii="System" w:hAnsi="System"/>
          <w:color w:val="1E1E1E"/>
          <w:sz w:val="30"/>
          <w:szCs w:val="30"/>
          <w:shd w:val="clear" w:color="auto" w:fill="FFFFFF"/>
          <w:lang w:val="en-GB"/>
        </w:rPr>
        <w:t>Jullie</w:t>
      </w:r>
      <w:proofErr w:type="spellEnd"/>
      <w:r w:rsidRPr="00CF0BAB">
        <w:rPr>
          <w:rFonts w:ascii="System" w:hAnsi="System"/>
          <w:color w:val="1E1E1E"/>
          <w:sz w:val="30"/>
          <w:szCs w:val="30"/>
          <w:shd w:val="clear" w:color="auto" w:fill="FFFFFF"/>
          <w:lang w:val="en-GB"/>
        </w:rPr>
        <w:t xml:space="preserve"> Anne Peters, Virginia Woolf (and her ex-lover, Vita Sackville-West), Audre Lorde, and Emily Dickinson. </w:t>
      </w:r>
    </w:p>
    <w:sectPr w:rsidR="00CF0BAB" w:rsidRPr="00CF0BAB" w:rsidSect="006E62D0">
      <w:pgSz w:w="16838" w:h="11906" w:orient="landscape"/>
      <w:pgMar w:top="993"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C6B8B"/>
    <w:multiLevelType w:val="multilevel"/>
    <w:tmpl w:val="25BE562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534E42"/>
    <w:multiLevelType w:val="multilevel"/>
    <w:tmpl w:val="E4A662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F658C"/>
    <w:multiLevelType w:val="multilevel"/>
    <w:tmpl w:val="16F0743E"/>
    <w:lvl w:ilvl="0">
      <w:start w:val="4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 w15:restartNumberingAfterBreak="0">
    <w:nsid w:val="644450CB"/>
    <w:multiLevelType w:val="multilevel"/>
    <w:tmpl w:val="6D80264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114639">
    <w:abstractNumId w:val="2"/>
  </w:num>
  <w:num w:numId="2" w16cid:durableId="56511767">
    <w:abstractNumId w:val="3"/>
  </w:num>
  <w:num w:numId="3" w16cid:durableId="257837331">
    <w:abstractNumId w:val="0"/>
  </w:num>
  <w:num w:numId="4" w16cid:durableId="692269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1E"/>
    <w:rsid w:val="000057D8"/>
    <w:rsid w:val="000333FC"/>
    <w:rsid w:val="000871E2"/>
    <w:rsid w:val="00096F31"/>
    <w:rsid w:val="000D6C1E"/>
    <w:rsid w:val="001129D5"/>
    <w:rsid w:val="00131A3B"/>
    <w:rsid w:val="00151579"/>
    <w:rsid w:val="00156473"/>
    <w:rsid w:val="00170A0F"/>
    <w:rsid w:val="00186BFD"/>
    <w:rsid w:val="001A75F3"/>
    <w:rsid w:val="00242A9A"/>
    <w:rsid w:val="00291CA6"/>
    <w:rsid w:val="002B3097"/>
    <w:rsid w:val="002B3804"/>
    <w:rsid w:val="002C24A7"/>
    <w:rsid w:val="00303BD4"/>
    <w:rsid w:val="0032612C"/>
    <w:rsid w:val="003935E2"/>
    <w:rsid w:val="003C59C1"/>
    <w:rsid w:val="003F23FF"/>
    <w:rsid w:val="00402E3F"/>
    <w:rsid w:val="0042559D"/>
    <w:rsid w:val="00446CEA"/>
    <w:rsid w:val="00457030"/>
    <w:rsid w:val="00486F52"/>
    <w:rsid w:val="00563002"/>
    <w:rsid w:val="00590567"/>
    <w:rsid w:val="005D6BF5"/>
    <w:rsid w:val="00604AFE"/>
    <w:rsid w:val="0062634C"/>
    <w:rsid w:val="00663CCE"/>
    <w:rsid w:val="006B51BD"/>
    <w:rsid w:val="006E62D0"/>
    <w:rsid w:val="00752FB3"/>
    <w:rsid w:val="00763422"/>
    <w:rsid w:val="007A40FD"/>
    <w:rsid w:val="007C7CB6"/>
    <w:rsid w:val="009837D6"/>
    <w:rsid w:val="009F58C8"/>
    <w:rsid w:val="00A05717"/>
    <w:rsid w:val="00AC2902"/>
    <w:rsid w:val="00B76DFD"/>
    <w:rsid w:val="00BD164A"/>
    <w:rsid w:val="00BE44B2"/>
    <w:rsid w:val="00C70E64"/>
    <w:rsid w:val="00CC50E9"/>
    <w:rsid w:val="00CF0BAB"/>
    <w:rsid w:val="00D34731"/>
    <w:rsid w:val="00D65EFA"/>
    <w:rsid w:val="00D720A4"/>
    <w:rsid w:val="00D761C7"/>
    <w:rsid w:val="00D95F70"/>
    <w:rsid w:val="00E11AAD"/>
    <w:rsid w:val="00E2514D"/>
    <w:rsid w:val="00EC41D3"/>
    <w:rsid w:val="00EE118A"/>
    <w:rsid w:val="00F33871"/>
    <w:rsid w:val="00F448CB"/>
    <w:rsid w:val="00FC3EAF"/>
    <w:rsid w:val="00FD271C"/>
    <w:rsid w:val="00FE3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3E2B"/>
  <w15:chartTrackingRefBased/>
  <w15:docId w15:val="{417FE404-D114-46F0-AEFA-43354F35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871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6C1E"/>
    <w:rPr>
      <w:color w:val="0000FF"/>
      <w:u w:val="single"/>
    </w:rPr>
  </w:style>
  <w:style w:type="character" w:styleId="Mencinsinresolver">
    <w:name w:val="Unresolved Mention"/>
    <w:basedOn w:val="Fuentedeprrafopredeter"/>
    <w:uiPriority w:val="99"/>
    <w:semiHidden/>
    <w:unhideWhenUsed/>
    <w:rsid w:val="000D6C1E"/>
    <w:rPr>
      <w:color w:val="605E5C"/>
      <w:shd w:val="clear" w:color="auto" w:fill="E1DFDD"/>
    </w:rPr>
  </w:style>
  <w:style w:type="character" w:styleId="Hipervnculovisitado">
    <w:name w:val="FollowedHyperlink"/>
    <w:basedOn w:val="Fuentedeprrafopredeter"/>
    <w:uiPriority w:val="99"/>
    <w:semiHidden/>
    <w:unhideWhenUsed/>
    <w:rsid w:val="00096F31"/>
    <w:rPr>
      <w:color w:val="954F72" w:themeColor="followedHyperlink"/>
      <w:u w:val="single"/>
    </w:rPr>
  </w:style>
  <w:style w:type="table" w:styleId="Tablaconcuadrcula">
    <w:name w:val="Table Grid"/>
    <w:basedOn w:val="Tablanormal"/>
    <w:uiPriority w:val="39"/>
    <w:rsid w:val="00BE4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457030"/>
    <w:rPr>
      <w:i/>
      <w:iCs/>
    </w:rPr>
  </w:style>
  <w:style w:type="character" w:customStyle="1" w:styleId="Ttulo2Car">
    <w:name w:val="Título 2 Car"/>
    <w:basedOn w:val="Fuentedeprrafopredeter"/>
    <w:link w:val="Ttulo2"/>
    <w:uiPriority w:val="9"/>
    <w:rsid w:val="000871E2"/>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7054">
      <w:bodyDiv w:val="1"/>
      <w:marLeft w:val="0"/>
      <w:marRight w:val="0"/>
      <w:marTop w:val="0"/>
      <w:marBottom w:val="0"/>
      <w:divBdr>
        <w:top w:val="none" w:sz="0" w:space="0" w:color="auto"/>
        <w:left w:val="none" w:sz="0" w:space="0" w:color="auto"/>
        <w:bottom w:val="none" w:sz="0" w:space="0" w:color="auto"/>
        <w:right w:val="none" w:sz="0" w:space="0" w:color="auto"/>
      </w:divBdr>
    </w:div>
    <w:div w:id="416101941">
      <w:bodyDiv w:val="1"/>
      <w:marLeft w:val="0"/>
      <w:marRight w:val="0"/>
      <w:marTop w:val="0"/>
      <w:marBottom w:val="0"/>
      <w:divBdr>
        <w:top w:val="none" w:sz="0" w:space="0" w:color="auto"/>
        <w:left w:val="none" w:sz="0" w:space="0" w:color="auto"/>
        <w:bottom w:val="none" w:sz="0" w:space="0" w:color="auto"/>
        <w:right w:val="none" w:sz="0" w:space="0" w:color="auto"/>
      </w:divBdr>
    </w:div>
    <w:div w:id="645204045">
      <w:bodyDiv w:val="1"/>
      <w:marLeft w:val="0"/>
      <w:marRight w:val="0"/>
      <w:marTop w:val="0"/>
      <w:marBottom w:val="0"/>
      <w:divBdr>
        <w:top w:val="none" w:sz="0" w:space="0" w:color="auto"/>
        <w:left w:val="none" w:sz="0" w:space="0" w:color="auto"/>
        <w:bottom w:val="none" w:sz="0" w:space="0" w:color="auto"/>
        <w:right w:val="none" w:sz="0" w:space="0" w:color="auto"/>
      </w:divBdr>
    </w:div>
    <w:div w:id="683898399">
      <w:bodyDiv w:val="1"/>
      <w:marLeft w:val="0"/>
      <w:marRight w:val="0"/>
      <w:marTop w:val="0"/>
      <w:marBottom w:val="0"/>
      <w:divBdr>
        <w:top w:val="none" w:sz="0" w:space="0" w:color="auto"/>
        <w:left w:val="none" w:sz="0" w:space="0" w:color="auto"/>
        <w:bottom w:val="none" w:sz="0" w:space="0" w:color="auto"/>
        <w:right w:val="none" w:sz="0" w:space="0" w:color="auto"/>
      </w:divBdr>
    </w:div>
    <w:div w:id="1284263982">
      <w:bodyDiv w:val="1"/>
      <w:marLeft w:val="0"/>
      <w:marRight w:val="0"/>
      <w:marTop w:val="0"/>
      <w:marBottom w:val="0"/>
      <w:divBdr>
        <w:top w:val="none" w:sz="0" w:space="0" w:color="auto"/>
        <w:left w:val="none" w:sz="0" w:space="0" w:color="auto"/>
        <w:bottom w:val="none" w:sz="0" w:space="0" w:color="auto"/>
        <w:right w:val="none" w:sz="0" w:space="0" w:color="auto"/>
      </w:divBdr>
    </w:div>
    <w:div w:id="201919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YMgQus" TargetMode="External"/><Relationship Id="rId13" Type="http://schemas.openxmlformats.org/officeDocument/2006/relationships/hyperlink" Target="https://en.wikipedia.org/wiki/History_of_lesbianism_in_the_United_States" TargetMode="External"/><Relationship Id="rId3" Type="http://schemas.openxmlformats.org/officeDocument/2006/relationships/styles" Target="styles.xml"/><Relationship Id="rId7" Type="http://schemas.openxmlformats.org/officeDocument/2006/relationships/hyperlink" Target="https://amzn.to/3AxyeQR" TargetMode="External"/><Relationship Id="rId12" Type="http://schemas.openxmlformats.org/officeDocument/2006/relationships/hyperlink" Target="https://en.wikipedia.org/wiki/History_of_lesbianism_in_the_United_St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mzn.to/3avzGsp" TargetMode="External"/><Relationship Id="rId11" Type="http://schemas.openxmlformats.org/officeDocument/2006/relationships/hyperlink" Target="https://en.wikipedia.org/wiki/Mildred_J._Berrym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Radical_feminism" TargetMode="External"/><Relationship Id="rId4" Type="http://schemas.openxmlformats.org/officeDocument/2006/relationships/settings" Target="settings.xml"/><Relationship Id="rId9" Type="http://schemas.openxmlformats.org/officeDocument/2006/relationships/hyperlink" Target="https://en.wikipedia.org/wiki/Fannie_Flag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C2C38-684F-41C8-9F69-45058BA3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63</cp:revision>
  <dcterms:created xsi:type="dcterms:W3CDTF">2022-11-02T19:55:00Z</dcterms:created>
  <dcterms:modified xsi:type="dcterms:W3CDTF">2023-06-06T11:07:00Z</dcterms:modified>
</cp:coreProperties>
</file>