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E473D" w14:textId="78040EE6" w:rsidR="00355667" w:rsidRPr="00896826" w:rsidRDefault="00355667">
      <w:pPr>
        <w:rPr>
          <w:lang w:val="pt-PT"/>
        </w:rPr>
      </w:pPr>
      <w:r w:rsidRPr="00896826">
        <w:rPr>
          <w:lang w:val="pt-PT"/>
        </w:rPr>
        <w:t xml:space="preserve">PROTOCOLO B </w:t>
      </w:r>
    </w:p>
    <w:p w14:paraId="6330A832" w14:textId="6DD51B89" w:rsidR="00355667" w:rsidRPr="00896826" w:rsidRDefault="00491D8C">
      <w:pPr>
        <w:rPr>
          <w:lang w:val="pt-PT"/>
        </w:rPr>
      </w:pPr>
      <w:r w:rsidRPr="00896826">
        <w:rPr>
          <w:lang w:val="pt-PT"/>
        </w:rPr>
        <w:t xml:space="preserve">3. Tendo em conta os regimes de quimioterápicos usados no tratamento dos 2 tipos de cancro em análise, indicar o provável estadio de cada um deles. </w:t>
      </w:r>
    </w:p>
    <w:p w14:paraId="1CA2CDB1" w14:textId="77777777" w:rsidR="00355667" w:rsidRDefault="00491D8C">
      <w:pPr>
        <w:rPr>
          <w:lang w:val="en-GB"/>
        </w:rPr>
      </w:pPr>
      <w:proofErr w:type="gramStart"/>
      <w:r w:rsidRPr="005F5E3A">
        <w:rPr>
          <w:lang w:val="en-GB"/>
        </w:rPr>
        <w:t>Taking into account</w:t>
      </w:r>
      <w:proofErr w:type="gramEnd"/>
      <w:r w:rsidRPr="005F5E3A">
        <w:rPr>
          <w:lang w:val="en-GB"/>
        </w:rPr>
        <w:t xml:space="preserve"> the chemotherapy regimens used in the treatment of the 2 types of cancer under analysis, indicate the probable stage of each of them. </w:t>
      </w:r>
    </w:p>
    <w:p w14:paraId="1586BE91" w14:textId="73137AFB" w:rsidR="004C3CA9" w:rsidRDefault="00602ABA">
      <w:pPr>
        <w:rPr>
          <w:lang w:val="pt-PT"/>
        </w:rPr>
      </w:pPr>
      <w:r>
        <w:rPr>
          <w:lang w:val="pt-PT"/>
        </w:rPr>
        <w:t xml:space="preserve">O </w:t>
      </w:r>
      <w:r w:rsidR="000E3CC4" w:rsidRPr="000E3CC4">
        <w:rPr>
          <w:lang w:val="pt-PT"/>
        </w:rPr>
        <w:t xml:space="preserve">regime </w:t>
      </w:r>
      <w:r w:rsidR="000E3CC4">
        <w:rPr>
          <w:lang w:val="pt-PT"/>
        </w:rPr>
        <w:t>quimioterapico utilizado</w:t>
      </w:r>
      <w:r w:rsidR="007F1426">
        <w:rPr>
          <w:lang w:val="pt-PT"/>
        </w:rPr>
        <w:t xml:space="preserve">, nomeadamente </w:t>
      </w:r>
      <w:r>
        <w:rPr>
          <w:lang w:val="pt-PT"/>
        </w:rPr>
        <w:t xml:space="preserve">fludarabina com citarabina, acompanhado </w:t>
      </w:r>
      <w:r w:rsidR="00AA6763">
        <w:rPr>
          <w:lang w:val="pt-PT"/>
        </w:rPr>
        <w:t>de um G-CSF</w:t>
      </w:r>
      <w:r w:rsidR="007A6A16">
        <w:rPr>
          <w:lang w:val="pt-PT"/>
        </w:rPr>
        <w:t xml:space="preserve">, </w:t>
      </w:r>
      <w:r w:rsidR="00AA6763">
        <w:rPr>
          <w:lang w:val="pt-PT"/>
        </w:rPr>
        <w:t>como o filgrastim</w:t>
      </w:r>
      <w:r w:rsidR="007A6A16">
        <w:rPr>
          <w:lang w:val="pt-PT"/>
        </w:rPr>
        <w:t>,</w:t>
      </w:r>
      <w:r w:rsidR="00AA6763">
        <w:rPr>
          <w:lang w:val="pt-PT"/>
        </w:rPr>
        <w:t xml:space="preserve"> est</w:t>
      </w:r>
      <w:r w:rsidR="00EF7D62">
        <w:rPr>
          <w:lang w:val="pt-PT"/>
        </w:rPr>
        <w:t xml:space="preserve">á associado </w:t>
      </w:r>
      <w:r w:rsidR="007A6A16">
        <w:rPr>
          <w:lang w:val="pt-PT"/>
        </w:rPr>
        <w:t xml:space="preserve">a uma terapia agressiva em casos de </w:t>
      </w:r>
      <w:r w:rsidR="002F5A9A">
        <w:rPr>
          <w:lang w:val="pt-PT"/>
        </w:rPr>
        <w:t>recidiva da leucemia ou de doença refrátaria</w:t>
      </w:r>
      <w:r w:rsidR="00D4425F">
        <w:rPr>
          <w:lang w:val="pt-PT"/>
        </w:rPr>
        <w:t xml:space="preserve">. </w:t>
      </w:r>
    </w:p>
    <w:p w14:paraId="724086A0" w14:textId="0D5CA669" w:rsidR="009431D2" w:rsidRPr="009431D2" w:rsidRDefault="009431D2">
      <w:pPr>
        <w:rPr>
          <w:lang w:val="en-GB"/>
        </w:rPr>
      </w:pPr>
      <w:r w:rsidRPr="009431D2">
        <w:rPr>
          <w:rFonts w:ascii="Arial" w:hAnsi="Arial" w:cs="Arial"/>
          <w:color w:val="000000"/>
          <w:lang w:val="en-GB"/>
        </w:rPr>
        <w:t>(CCN Clinical Practice Guidelines in Oncology (NCCN Guidelines</w:t>
      </w:r>
      <w:r w:rsidR="00D01745">
        <w:rPr>
          <w:rFonts w:ascii="Arial" w:hAnsi="Arial" w:cs="Arial"/>
          <w:color w:val="000000"/>
          <w:lang w:val="en-GB"/>
        </w:rPr>
        <w:t xml:space="preserve"> </w:t>
      </w:r>
      <w:r w:rsidR="000647DA" w:rsidRPr="000647DA">
        <w:rPr>
          <w:rFonts w:ascii="Arial" w:hAnsi="Arial" w:cs="Arial"/>
          <w:color w:val="000000"/>
          <w:lang w:val="en-GB"/>
        </w:rPr>
        <w:t xml:space="preserve">Acute Myeloid </w:t>
      </w:r>
      <w:proofErr w:type="spellStart"/>
      <w:r w:rsidR="000647DA" w:rsidRPr="000647DA">
        <w:rPr>
          <w:rFonts w:ascii="Arial" w:hAnsi="Arial" w:cs="Arial"/>
          <w:color w:val="000000"/>
          <w:lang w:val="en-GB"/>
        </w:rPr>
        <w:t>Leukemia</w:t>
      </w:r>
      <w:proofErr w:type="spellEnd"/>
      <w:r w:rsidRPr="009431D2">
        <w:rPr>
          <w:rFonts w:ascii="Arial" w:hAnsi="Arial" w:cs="Arial"/>
          <w:color w:val="000000"/>
          <w:lang w:val="en-GB"/>
        </w:rPr>
        <w:t>, Version</w:t>
      </w:r>
      <w:r w:rsidR="000647DA">
        <w:rPr>
          <w:rFonts w:ascii="Arial" w:hAnsi="Arial" w:cs="Arial"/>
          <w:color w:val="000000"/>
          <w:lang w:val="en-GB"/>
        </w:rPr>
        <w:t xml:space="preserve"> </w:t>
      </w:r>
      <w:r w:rsidR="00450FC2">
        <w:rPr>
          <w:rFonts w:ascii="Arial" w:hAnsi="Arial" w:cs="Arial"/>
          <w:color w:val="000000"/>
          <w:lang w:val="en-GB"/>
        </w:rPr>
        <w:t>1.</w:t>
      </w:r>
      <w:r w:rsidRPr="009431D2">
        <w:rPr>
          <w:rFonts w:ascii="Arial" w:hAnsi="Arial" w:cs="Arial"/>
          <w:color w:val="000000"/>
          <w:lang w:val="en-GB"/>
        </w:rPr>
        <w:t xml:space="preserve">2022 — </w:t>
      </w:r>
      <w:r w:rsidR="00450FC2">
        <w:rPr>
          <w:rFonts w:ascii="Arial" w:hAnsi="Arial" w:cs="Arial"/>
          <w:color w:val="000000"/>
          <w:lang w:val="en-GB"/>
        </w:rPr>
        <w:t xml:space="preserve">December 2, </w:t>
      </w:r>
      <w:proofErr w:type="gramStart"/>
      <w:r w:rsidR="00450FC2">
        <w:rPr>
          <w:rFonts w:ascii="Arial" w:hAnsi="Arial" w:cs="Arial"/>
          <w:color w:val="000000"/>
          <w:lang w:val="en-GB"/>
        </w:rPr>
        <w:t>2021</w:t>
      </w:r>
      <w:proofErr w:type="gramEnd"/>
      <w:r w:rsidR="00450FC2">
        <w:rPr>
          <w:rFonts w:ascii="Arial" w:hAnsi="Arial" w:cs="Arial"/>
          <w:color w:val="000000"/>
          <w:lang w:val="en-GB"/>
        </w:rPr>
        <w:t xml:space="preserve"> </w:t>
      </w:r>
      <w:proofErr w:type="spellStart"/>
      <w:r w:rsidRPr="009431D2">
        <w:rPr>
          <w:rFonts w:ascii="Arial" w:hAnsi="Arial" w:cs="Arial"/>
          <w:color w:val="000000"/>
          <w:lang w:val="en-GB"/>
        </w:rPr>
        <w:t>disponível</w:t>
      </w:r>
      <w:proofErr w:type="spellEnd"/>
      <w:r w:rsidRPr="009431D2">
        <w:rPr>
          <w:rFonts w:ascii="Arial" w:hAnsi="Arial" w:cs="Arial"/>
          <w:color w:val="000000"/>
          <w:lang w:val="en-GB"/>
        </w:rPr>
        <w:t xml:space="preserve"> </w:t>
      </w:r>
      <w:proofErr w:type="spellStart"/>
      <w:r w:rsidRPr="009431D2">
        <w:rPr>
          <w:rFonts w:ascii="Arial" w:hAnsi="Arial" w:cs="Arial"/>
          <w:color w:val="000000"/>
          <w:lang w:val="en-GB"/>
        </w:rPr>
        <w:t>em</w:t>
      </w:r>
      <w:proofErr w:type="spellEnd"/>
      <w:r w:rsidRPr="009431D2">
        <w:rPr>
          <w:rFonts w:ascii="Arial" w:hAnsi="Arial" w:cs="Arial"/>
          <w:color w:val="000000"/>
          <w:lang w:val="en-GB"/>
        </w:rPr>
        <w:t xml:space="preserve"> </w:t>
      </w:r>
      <w:hyperlink r:id="rId4" w:history="1">
        <w:r w:rsidRPr="009431D2">
          <w:rPr>
            <w:rStyle w:val="Hipervnculo"/>
            <w:rFonts w:ascii="Arial" w:hAnsi="Arial" w:cs="Arial"/>
            <w:color w:val="1155CC"/>
            <w:lang w:val="en-GB"/>
          </w:rPr>
          <w:t>www.nccn.org/patients</w:t>
        </w:r>
      </w:hyperlink>
      <w:r w:rsidRPr="009431D2">
        <w:rPr>
          <w:rFonts w:ascii="Arial" w:hAnsi="Arial" w:cs="Arial"/>
          <w:color w:val="000000"/>
          <w:lang w:val="en-GB"/>
        </w:rPr>
        <w:t>)</w:t>
      </w:r>
    </w:p>
    <w:p w14:paraId="6C61D15A" w14:textId="77777777" w:rsidR="00355667" w:rsidRPr="009431D2" w:rsidRDefault="00355667">
      <w:pPr>
        <w:rPr>
          <w:lang w:val="en-GB"/>
        </w:rPr>
      </w:pPr>
    </w:p>
    <w:p w14:paraId="11B57A86" w14:textId="44BEF24A" w:rsidR="00355667" w:rsidRPr="00896826" w:rsidRDefault="00491D8C">
      <w:pPr>
        <w:rPr>
          <w:lang w:val="pt-PT"/>
        </w:rPr>
      </w:pPr>
      <w:r w:rsidRPr="00896826">
        <w:rPr>
          <w:lang w:val="pt-PT"/>
        </w:rPr>
        <w:t xml:space="preserve">4. Indicar a finalidade dos fármacos adjuvantes incluídos em cada protocolo e explicar qual o seu mecanismo de ação. </w:t>
      </w:r>
    </w:p>
    <w:p w14:paraId="6D50F3D7" w14:textId="55A76408" w:rsidR="00355667" w:rsidRPr="005F5E3A" w:rsidRDefault="00491D8C">
      <w:pPr>
        <w:rPr>
          <w:lang w:val="en-GB"/>
        </w:rPr>
      </w:pPr>
      <w:r w:rsidRPr="005F5E3A">
        <w:rPr>
          <w:lang w:val="en-GB"/>
        </w:rPr>
        <w:t xml:space="preserve">Indicate the purpose of the adjuvant drugs included in each protocol and explain their mechanism of action. </w:t>
      </w:r>
    </w:p>
    <w:p w14:paraId="2353624F" w14:textId="540098B1" w:rsidR="00355667" w:rsidRDefault="00E30EE0">
      <w:pPr>
        <w:rPr>
          <w:lang w:val="pt-PT"/>
        </w:rPr>
      </w:pPr>
      <w:r w:rsidRPr="00D264E4">
        <w:rPr>
          <w:lang w:val="pt-PT"/>
        </w:rPr>
        <w:t>O filgrastim</w:t>
      </w:r>
      <w:r w:rsidR="00D264E4" w:rsidRPr="00D264E4">
        <w:rPr>
          <w:lang w:val="pt-PT"/>
        </w:rPr>
        <w:t xml:space="preserve"> é um e</w:t>
      </w:r>
      <w:r w:rsidR="00D264E4">
        <w:rPr>
          <w:lang w:val="pt-PT"/>
        </w:rPr>
        <w:t>stimulante de colonias</w:t>
      </w:r>
      <w:r w:rsidR="00651B13">
        <w:rPr>
          <w:lang w:val="pt-PT"/>
        </w:rPr>
        <w:t xml:space="preserve"> de</w:t>
      </w:r>
      <w:r w:rsidR="00D264E4">
        <w:rPr>
          <w:lang w:val="pt-PT"/>
        </w:rPr>
        <w:t xml:space="preserve"> granu</w:t>
      </w:r>
      <w:r w:rsidR="00651B13">
        <w:rPr>
          <w:lang w:val="pt-PT"/>
        </w:rPr>
        <w:t>lócitos (G-</w:t>
      </w:r>
      <w:r w:rsidR="00D35AD3">
        <w:rPr>
          <w:lang w:val="pt-PT"/>
        </w:rPr>
        <w:t>CSF) que irá estimular a proliferaç</w:t>
      </w:r>
      <w:r w:rsidR="00466879">
        <w:rPr>
          <w:lang w:val="pt-PT"/>
        </w:rPr>
        <w:t>ão e maturação dos percursores dos neutrofilos e a ativação</w:t>
      </w:r>
      <w:r w:rsidR="00A94284">
        <w:rPr>
          <w:lang w:val="pt-PT"/>
        </w:rPr>
        <w:t xml:space="preserve"> funcional</w:t>
      </w:r>
      <w:r w:rsidR="004B2A76">
        <w:rPr>
          <w:lang w:val="pt-PT"/>
        </w:rPr>
        <w:t xml:space="preserve"> d</w:t>
      </w:r>
      <w:r w:rsidR="006C28F2">
        <w:rPr>
          <w:lang w:val="pt-PT"/>
        </w:rPr>
        <w:t>estes</w:t>
      </w:r>
      <w:r w:rsidR="00CE5BB6">
        <w:rPr>
          <w:lang w:val="pt-PT"/>
        </w:rPr>
        <w:t>, facilitando, ainda, a sua libertação no sangue.</w:t>
      </w:r>
      <w:r w:rsidR="004B2A76">
        <w:rPr>
          <w:lang w:val="pt-PT"/>
        </w:rPr>
        <w:t xml:space="preserve"> </w:t>
      </w:r>
      <w:r w:rsidR="006C28F2">
        <w:rPr>
          <w:lang w:val="pt-PT"/>
        </w:rPr>
        <w:t xml:space="preserve">O Filgrastim é utilizado a fim de </w:t>
      </w:r>
      <w:r w:rsidR="00423A67">
        <w:rPr>
          <w:lang w:val="pt-PT"/>
        </w:rPr>
        <w:t>prevenir infeções associadas à neutropenia.</w:t>
      </w:r>
    </w:p>
    <w:p w14:paraId="1EAD24C7" w14:textId="3FD0E814" w:rsidR="002331EC" w:rsidRDefault="002331EC">
      <w:pPr>
        <w:rPr>
          <w:lang w:val="pt-PT"/>
        </w:rPr>
      </w:pPr>
      <w:r w:rsidRPr="002331EC">
        <w:rPr>
          <w:rFonts w:ascii="Segoe UI" w:hAnsi="Segoe UI" w:cs="Segoe UI"/>
          <w:color w:val="212121"/>
          <w:shd w:val="clear" w:color="auto" w:fill="FFFFFF"/>
          <w:lang w:val="pt-PT"/>
        </w:rPr>
        <w:t xml:space="preserve">Aghedo BO, Gupta V. Filgrastim. </w:t>
      </w:r>
      <w:r w:rsidRPr="002331EC">
        <w:rPr>
          <w:rFonts w:ascii="Segoe UI" w:hAnsi="Segoe UI" w:cs="Segoe UI"/>
          <w:color w:val="212121"/>
          <w:shd w:val="clear" w:color="auto" w:fill="FFFFFF"/>
          <w:lang w:val="en-GB"/>
        </w:rPr>
        <w:t xml:space="preserve">2022 Jul 4. In: </w:t>
      </w:r>
      <w:proofErr w:type="spellStart"/>
      <w:r w:rsidRPr="002331EC">
        <w:rPr>
          <w:rFonts w:ascii="Segoe UI" w:hAnsi="Segoe UI" w:cs="Segoe UI"/>
          <w:color w:val="212121"/>
          <w:shd w:val="clear" w:color="auto" w:fill="FFFFFF"/>
          <w:lang w:val="en-GB"/>
        </w:rPr>
        <w:t>StatPearls</w:t>
      </w:r>
      <w:proofErr w:type="spellEnd"/>
      <w:r w:rsidRPr="002331EC">
        <w:rPr>
          <w:rFonts w:ascii="Segoe UI" w:hAnsi="Segoe UI" w:cs="Segoe UI"/>
          <w:color w:val="212121"/>
          <w:shd w:val="clear" w:color="auto" w:fill="FFFFFF"/>
          <w:lang w:val="en-GB"/>
        </w:rPr>
        <w:t xml:space="preserve"> [Internet]. Treasure Island (FL): </w:t>
      </w:r>
      <w:proofErr w:type="spellStart"/>
      <w:r w:rsidRPr="002331EC">
        <w:rPr>
          <w:rFonts w:ascii="Segoe UI" w:hAnsi="Segoe UI" w:cs="Segoe UI"/>
          <w:color w:val="212121"/>
          <w:shd w:val="clear" w:color="auto" w:fill="FFFFFF"/>
          <w:lang w:val="en-GB"/>
        </w:rPr>
        <w:t>StatPearls</w:t>
      </w:r>
      <w:proofErr w:type="spellEnd"/>
      <w:r w:rsidRPr="002331EC">
        <w:rPr>
          <w:rFonts w:ascii="Segoe UI" w:hAnsi="Segoe UI" w:cs="Segoe UI"/>
          <w:color w:val="212121"/>
          <w:shd w:val="clear" w:color="auto" w:fill="FFFFFF"/>
          <w:lang w:val="en-GB"/>
        </w:rPr>
        <w:t xml:space="preserve"> Publishing; 2022 Jan–. </w:t>
      </w:r>
      <w:r>
        <w:rPr>
          <w:rFonts w:ascii="Segoe UI" w:hAnsi="Segoe UI" w:cs="Segoe UI"/>
          <w:color w:val="212121"/>
          <w:shd w:val="clear" w:color="auto" w:fill="FFFFFF"/>
        </w:rPr>
        <w:t>PMID: 32644708.</w:t>
      </w:r>
    </w:p>
    <w:p w14:paraId="20464C9C" w14:textId="6E5FB6DB" w:rsidR="00423A67" w:rsidRDefault="00423A67">
      <w:pPr>
        <w:rPr>
          <w:lang w:val="pt-PT"/>
        </w:rPr>
      </w:pPr>
      <w:r>
        <w:rPr>
          <w:lang w:val="pt-PT"/>
        </w:rPr>
        <w:t xml:space="preserve">O ondansetron é um antagonista </w:t>
      </w:r>
      <w:r w:rsidR="00FA7BD9">
        <w:rPr>
          <w:lang w:val="pt-PT"/>
        </w:rPr>
        <w:t>seletivo do recetor da seratonina 5-</w:t>
      </w:r>
      <w:r w:rsidR="00ED5F75">
        <w:rPr>
          <w:lang w:val="pt-PT"/>
        </w:rPr>
        <w:t>HT3 utilizado em associaç</w:t>
      </w:r>
      <w:r w:rsidR="00C820D4">
        <w:rPr>
          <w:lang w:val="pt-PT"/>
        </w:rPr>
        <w:t>ão com fármacos quimioterapicos</w:t>
      </w:r>
      <w:r w:rsidR="00ED5F75">
        <w:rPr>
          <w:lang w:val="pt-PT"/>
        </w:rPr>
        <w:t xml:space="preserve"> </w:t>
      </w:r>
      <w:r w:rsidR="00C820D4">
        <w:rPr>
          <w:lang w:val="pt-PT"/>
        </w:rPr>
        <w:t>devido às</w:t>
      </w:r>
      <w:r w:rsidR="00ED5F75">
        <w:rPr>
          <w:lang w:val="pt-PT"/>
        </w:rPr>
        <w:t xml:space="preserve"> suas propriedades antieméticas</w:t>
      </w:r>
      <w:r w:rsidR="00C820D4">
        <w:rPr>
          <w:lang w:val="pt-PT"/>
        </w:rPr>
        <w:t>.</w:t>
      </w:r>
      <w:r w:rsidR="00BD5404">
        <w:rPr>
          <w:lang w:val="pt-PT"/>
        </w:rPr>
        <w:t xml:space="preserve"> Este pode atuar tanto a nivel central como a nivel periferico, mas estima-se que o seu efeito antiémetico seja predominantemente devido </w:t>
      </w:r>
      <w:r w:rsidR="00D60947">
        <w:rPr>
          <w:lang w:val="pt-PT"/>
        </w:rPr>
        <w:t>as ações periféricas, nomeadamente, ação sobre</w:t>
      </w:r>
      <w:r w:rsidR="008F3FC5">
        <w:rPr>
          <w:lang w:val="pt-PT"/>
        </w:rPr>
        <w:t xml:space="preserve"> os recetores 5-TH3 presentes nos terminais</w:t>
      </w:r>
      <w:r w:rsidR="00D60947">
        <w:rPr>
          <w:lang w:val="pt-PT"/>
        </w:rPr>
        <w:t xml:space="preserve"> </w:t>
      </w:r>
      <w:r w:rsidR="008F3FC5">
        <w:rPr>
          <w:lang w:val="pt-PT"/>
        </w:rPr>
        <w:t>d</w:t>
      </w:r>
      <w:r w:rsidR="00D60947">
        <w:rPr>
          <w:lang w:val="pt-PT"/>
        </w:rPr>
        <w:t>o nervo vago</w:t>
      </w:r>
      <w:r w:rsidR="00113550">
        <w:rPr>
          <w:lang w:val="pt-PT"/>
        </w:rPr>
        <w:t>.</w:t>
      </w:r>
    </w:p>
    <w:p w14:paraId="38751D0E" w14:textId="27E04E98" w:rsidR="00B65F16" w:rsidRDefault="00B65F16">
      <w:pPr>
        <w:rPr>
          <w:lang w:val="pt-PT"/>
        </w:rPr>
      </w:pPr>
      <w:proofErr w:type="spellStart"/>
      <w:r w:rsidRPr="00B65F16">
        <w:rPr>
          <w:rFonts w:ascii="Segoe UI" w:hAnsi="Segoe UI" w:cs="Segoe UI"/>
          <w:color w:val="212121"/>
          <w:shd w:val="clear" w:color="auto" w:fill="FFFFFF"/>
          <w:lang w:val="en-GB"/>
        </w:rPr>
        <w:t>Griddine</w:t>
      </w:r>
      <w:proofErr w:type="spellEnd"/>
      <w:r w:rsidRPr="00B65F16">
        <w:rPr>
          <w:rFonts w:ascii="Segoe UI" w:hAnsi="Segoe UI" w:cs="Segoe UI"/>
          <w:color w:val="212121"/>
          <w:shd w:val="clear" w:color="auto" w:fill="FFFFFF"/>
          <w:lang w:val="en-GB"/>
        </w:rPr>
        <w:t xml:space="preserve"> A, Bush JS. Ondansetron. 2022 Sep 22. In: </w:t>
      </w:r>
      <w:proofErr w:type="spellStart"/>
      <w:r w:rsidRPr="00B65F16">
        <w:rPr>
          <w:rFonts w:ascii="Segoe UI" w:hAnsi="Segoe UI" w:cs="Segoe UI"/>
          <w:color w:val="212121"/>
          <w:shd w:val="clear" w:color="auto" w:fill="FFFFFF"/>
          <w:lang w:val="en-GB"/>
        </w:rPr>
        <w:t>StatPearls</w:t>
      </w:r>
      <w:proofErr w:type="spellEnd"/>
      <w:r w:rsidRPr="00B65F16">
        <w:rPr>
          <w:rFonts w:ascii="Segoe UI" w:hAnsi="Segoe UI" w:cs="Segoe UI"/>
          <w:color w:val="212121"/>
          <w:shd w:val="clear" w:color="auto" w:fill="FFFFFF"/>
          <w:lang w:val="en-GB"/>
        </w:rPr>
        <w:t xml:space="preserve"> [Internet]. Treasure Island (FL): </w:t>
      </w:r>
      <w:proofErr w:type="spellStart"/>
      <w:r w:rsidRPr="00B65F16">
        <w:rPr>
          <w:rFonts w:ascii="Segoe UI" w:hAnsi="Segoe UI" w:cs="Segoe UI"/>
          <w:color w:val="212121"/>
          <w:shd w:val="clear" w:color="auto" w:fill="FFFFFF"/>
          <w:lang w:val="en-GB"/>
        </w:rPr>
        <w:t>StatPearls</w:t>
      </w:r>
      <w:proofErr w:type="spellEnd"/>
      <w:r w:rsidRPr="00B65F16">
        <w:rPr>
          <w:rFonts w:ascii="Segoe UI" w:hAnsi="Segoe UI" w:cs="Segoe UI"/>
          <w:color w:val="212121"/>
          <w:shd w:val="clear" w:color="auto" w:fill="FFFFFF"/>
          <w:lang w:val="en-GB"/>
        </w:rPr>
        <w:t xml:space="preserve"> Publishing; 2022 Jan–. </w:t>
      </w:r>
      <w:r>
        <w:rPr>
          <w:rFonts w:ascii="Segoe UI" w:hAnsi="Segoe UI" w:cs="Segoe UI"/>
          <w:color w:val="212121"/>
          <w:shd w:val="clear" w:color="auto" w:fill="FFFFFF"/>
        </w:rPr>
        <w:t>PMID: 29763014.</w:t>
      </w:r>
    </w:p>
    <w:p w14:paraId="4870A65D" w14:textId="5B98A40E" w:rsidR="00752B3F" w:rsidRDefault="00752B3F">
      <w:pPr>
        <w:rPr>
          <w:lang w:val="pt-PT"/>
        </w:rPr>
      </w:pPr>
      <w:r>
        <w:rPr>
          <w:lang w:val="pt-PT"/>
        </w:rPr>
        <w:t>A associação da dexametasona com a neo</w:t>
      </w:r>
      <w:r w:rsidR="000C6242">
        <w:rPr>
          <w:lang w:val="pt-PT"/>
        </w:rPr>
        <w:t>micina é utilizada uma vez que um dos efeitos adversos mais frequentes da c</w:t>
      </w:r>
      <w:r w:rsidR="002E0C36">
        <w:rPr>
          <w:lang w:val="pt-PT"/>
        </w:rPr>
        <w:t xml:space="preserve">itarabina </w:t>
      </w:r>
      <w:r w:rsidR="00FF325B">
        <w:rPr>
          <w:lang w:val="pt-PT"/>
        </w:rPr>
        <w:t xml:space="preserve">são as infeções </w:t>
      </w:r>
      <w:r w:rsidR="001A1DC5">
        <w:rPr>
          <w:lang w:val="pt-PT"/>
        </w:rPr>
        <w:t>oculares como a queratite e a conjuntivite. Sendo utiliza</w:t>
      </w:r>
      <w:r w:rsidR="00F42534">
        <w:rPr>
          <w:lang w:val="pt-PT"/>
        </w:rPr>
        <w:t>do</w:t>
      </w:r>
      <w:r w:rsidR="001A1DC5">
        <w:rPr>
          <w:lang w:val="pt-PT"/>
        </w:rPr>
        <w:t xml:space="preserve"> a dexametasona e a neomicina de modo a </w:t>
      </w:r>
      <w:r w:rsidR="00234B46">
        <w:rPr>
          <w:lang w:val="pt-PT"/>
        </w:rPr>
        <w:t>tratar</w:t>
      </w:r>
      <w:r w:rsidR="00E17B45">
        <w:rPr>
          <w:lang w:val="pt-PT"/>
        </w:rPr>
        <w:t xml:space="preserve"> ou prevenir</w:t>
      </w:r>
      <w:r w:rsidR="00234B46">
        <w:rPr>
          <w:lang w:val="pt-PT"/>
        </w:rPr>
        <w:t xml:space="preserve"> </w:t>
      </w:r>
      <w:r w:rsidR="00234B1E">
        <w:rPr>
          <w:lang w:val="pt-PT"/>
        </w:rPr>
        <w:t>uma infeção bacteriana</w:t>
      </w:r>
      <w:r w:rsidR="007F37BE">
        <w:rPr>
          <w:lang w:val="pt-PT"/>
        </w:rPr>
        <w:t xml:space="preserve">, sendo a primeira um esteroide </w:t>
      </w:r>
      <w:r w:rsidR="00005EC5">
        <w:rPr>
          <w:lang w:val="pt-PT"/>
        </w:rPr>
        <w:t xml:space="preserve">utilizado para diminuir a inflamação resultante das infeções bacterianas e o segundo </w:t>
      </w:r>
      <w:r w:rsidR="0082755E">
        <w:rPr>
          <w:lang w:val="pt-PT"/>
        </w:rPr>
        <w:t>um antibiotico.</w:t>
      </w:r>
      <w:r w:rsidR="002E0C36">
        <w:rPr>
          <w:lang w:val="pt-PT"/>
        </w:rPr>
        <w:t xml:space="preserve"> </w:t>
      </w:r>
    </w:p>
    <w:p w14:paraId="28619BF0" w14:textId="05EBE3FB" w:rsidR="009E205E" w:rsidRPr="009E205E" w:rsidRDefault="00F67039">
      <w:pPr>
        <w:rPr>
          <w:lang w:val="pt-PT"/>
        </w:rPr>
      </w:pPr>
      <w:r w:rsidRPr="009E205E">
        <w:rPr>
          <w:rFonts w:ascii="Open Sans" w:hAnsi="Open Sans" w:cs="Open Sans"/>
          <w:i/>
          <w:iCs/>
          <w:color w:val="000000"/>
          <w:sz w:val="21"/>
          <w:szCs w:val="21"/>
          <w:lang w:val="pt-PT"/>
        </w:rPr>
        <w:t>Neomycin and dexamethasone ophthalmic</w:t>
      </w:r>
      <w:r w:rsidRPr="009E205E">
        <w:rPr>
          <w:rFonts w:ascii="Open Sans" w:hAnsi="Open Sans" w:cs="Open Sans"/>
          <w:color w:val="000000"/>
          <w:sz w:val="21"/>
          <w:szCs w:val="21"/>
          <w:lang w:val="pt-PT"/>
        </w:rPr>
        <w:t xml:space="preserve"> </w:t>
      </w:r>
      <w:r w:rsidR="009E205E" w:rsidRPr="009E205E">
        <w:rPr>
          <w:rFonts w:ascii="Open Sans" w:hAnsi="Open Sans" w:cs="Open Sans"/>
          <w:color w:val="000000"/>
          <w:sz w:val="21"/>
          <w:szCs w:val="21"/>
          <w:lang w:val="pt-PT"/>
        </w:rPr>
        <w:t xml:space="preserve">disponivél em </w:t>
      </w:r>
      <w:r w:rsidRPr="009E205E">
        <w:rPr>
          <w:rStyle w:val="Hipervnculo"/>
          <w:rFonts w:ascii="Arial" w:hAnsi="Arial" w:cs="Arial"/>
          <w:color w:val="1155CC"/>
          <w:lang w:val="en-GB"/>
        </w:rPr>
        <w:fldChar w:fldCharType="begin"/>
      </w:r>
      <w:r w:rsidRPr="009E205E">
        <w:rPr>
          <w:rStyle w:val="Hipervnculo"/>
          <w:rFonts w:ascii="Arial" w:hAnsi="Arial" w:cs="Arial"/>
          <w:color w:val="1155CC"/>
          <w:lang w:val="en-GB"/>
        </w:rPr>
        <w:instrText xml:space="preserve"> HYPERLINK "https://www.drugs.com/mtm/neomycin-and-dexamethasone-ophthalmic.html" \t "_blank" </w:instrText>
      </w:r>
      <w:r w:rsidRPr="009E205E">
        <w:rPr>
          <w:rStyle w:val="Hipervnculo"/>
          <w:rFonts w:ascii="Arial" w:hAnsi="Arial" w:cs="Arial"/>
          <w:color w:val="1155CC"/>
          <w:lang w:val="en-GB"/>
        </w:rPr>
        <w:fldChar w:fldCharType="separate"/>
      </w:r>
      <w:r w:rsidRPr="009E205E">
        <w:rPr>
          <w:rStyle w:val="Hipervnculo"/>
          <w:rFonts w:ascii="Arial" w:hAnsi="Arial" w:cs="Arial"/>
          <w:color w:val="1155CC"/>
          <w:lang w:val="en-GB"/>
        </w:rPr>
        <w:t>https://www.drugs.com/mtm/neomycin-and-dexamethasone-ophthalmic.html</w:t>
      </w:r>
      <w:r w:rsidRPr="009E205E">
        <w:rPr>
          <w:rStyle w:val="Hipervnculo"/>
          <w:rFonts w:ascii="Arial" w:hAnsi="Arial" w:cs="Arial"/>
          <w:color w:val="1155CC"/>
          <w:lang w:val="en-GB"/>
        </w:rPr>
        <w:fldChar w:fldCharType="end"/>
      </w:r>
      <w:r w:rsidR="009E205E" w:rsidRPr="009E205E">
        <w:rPr>
          <w:rStyle w:val="Hipervnculo"/>
          <w:rFonts w:ascii="Arial" w:hAnsi="Arial" w:cs="Arial"/>
          <w:color w:val="1155CC"/>
          <w:lang w:val="en-GB"/>
        </w:rPr>
        <w:t xml:space="preserve"> </w:t>
      </w:r>
      <w:r w:rsidR="009E205E" w:rsidRPr="009E205E">
        <w:rPr>
          <w:lang w:val="pt-PT"/>
        </w:rPr>
        <w:t>acedido em</w:t>
      </w:r>
      <w:r w:rsidR="009E205E">
        <w:rPr>
          <w:lang w:val="pt-PT"/>
        </w:rPr>
        <w:t xml:space="preserve"> 5 de dezembro de 2022</w:t>
      </w:r>
    </w:p>
    <w:p w14:paraId="05145871" w14:textId="7A3D6B5A" w:rsidR="00355667" w:rsidRDefault="0036663E">
      <w:pPr>
        <w:rPr>
          <w:lang w:val="pt-PT"/>
        </w:rPr>
      </w:pPr>
      <w:r>
        <w:rPr>
          <w:lang w:val="pt-PT"/>
        </w:rPr>
        <w:t xml:space="preserve">E atua na sintese proteinas ao ligar-se de maneira irreversilver às proções </w:t>
      </w:r>
      <w:r w:rsidR="00B81B4C">
        <w:rPr>
          <w:lang w:val="pt-PT"/>
        </w:rPr>
        <w:t xml:space="preserve">30s e 50s do ribossoma bacteriano, </w:t>
      </w:r>
      <w:r w:rsidR="00BC6F4D">
        <w:rPr>
          <w:lang w:val="pt-PT"/>
        </w:rPr>
        <w:t>aqui vão ligar-se a proteinas inibidoreas da sintese, gereando erros na transcrição</w:t>
      </w:r>
      <w:r w:rsidR="00894460">
        <w:rPr>
          <w:lang w:val="pt-PT"/>
        </w:rPr>
        <w:t>.</w:t>
      </w:r>
    </w:p>
    <w:p w14:paraId="393EA819" w14:textId="6D380E59" w:rsidR="00823241" w:rsidRPr="009E205E" w:rsidRDefault="00823241">
      <w:pPr>
        <w:rPr>
          <w:lang w:val="pt-PT"/>
        </w:rPr>
      </w:pPr>
      <w:r>
        <w:rPr>
          <w:lang w:val="pt-PT"/>
        </w:rPr>
        <w:lastRenderedPageBreak/>
        <w:t>A neomicina pretence à classe dos antibioticos aminoglicosideos e como tal vai atuar inibindo a sintese proteica. Esta liga-se à subunidade 30s do ribossoma</w:t>
      </w:r>
      <w:r w:rsidR="00526180">
        <w:rPr>
          <w:lang w:val="pt-PT"/>
        </w:rPr>
        <w:t xml:space="preserve"> e v</w:t>
      </w:r>
      <w:r w:rsidR="00C21485">
        <w:rPr>
          <w:lang w:val="pt-PT"/>
        </w:rPr>
        <w:t>ai</w:t>
      </w:r>
      <w:r w:rsidR="00526180">
        <w:rPr>
          <w:lang w:val="pt-PT"/>
        </w:rPr>
        <w:t xml:space="preserve"> induzir uma leitura errada do mRNA, assim, levam </w:t>
      </w:r>
      <w:r w:rsidR="00A56069">
        <w:rPr>
          <w:lang w:val="pt-PT"/>
        </w:rPr>
        <w:t xml:space="preserve">a erros na transcrição e produção de proteinas anormais que, ao </w:t>
      </w:r>
      <w:r w:rsidR="00B23D75">
        <w:rPr>
          <w:lang w:val="pt-PT"/>
        </w:rPr>
        <w:t>integrarem na membrana citoplasmatica, vão alterar a sua permeabilidade</w:t>
      </w:r>
      <w:r w:rsidR="00C21485">
        <w:rPr>
          <w:lang w:val="pt-PT"/>
        </w:rPr>
        <w:t>, tendo atividade bactericida.</w:t>
      </w:r>
    </w:p>
    <w:p w14:paraId="03A8ACD1" w14:textId="77777777" w:rsidR="00355667" w:rsidRPr="009E205E" w:rsidRDefault="00355667">
      <w:pPr>
        <w:rPr>
          <w:lang w:val="pt-PT"/>
        </w:rPr>
      </w:pPr>
    </w:p>
    <w:p w14:paraId="21C928DF" w14:textId="0C86FB77" w:rsidR="00355667" w:rsidRPr="00896826" w:rsidRDefault="00355667">
      <w:pPr>
        <w:rPr>
          <w:lang w:val="pt-PT"/>
        </w:rPr>
      </w:pPr>
      <w:r w:rsidRPr="00896826">
        <w:rPr>
          <w:lang w:val="pt-PT"/>
        </w:rPr>
        <w:t>PROTOCOLO A</w:t>
      </w:r>
    </w:p>
    <w:p w14:paraId="3DC9D03A" w14:textId="7FA96D0B" w:rsidR="00355667" w:rsidRPr="00896826" w:rsidRDefault="00491D8C">
      <w:pPr>
        <w:rPr>
          <w:lang w:val="pt-PT"/>
        </w:rPr>
      </w:pPr>
      <w:r w:rsidRPr="00896826">
        <w:rPr>
          <w:lang w:val="pt-PT"/>
        </w:rPr>
        <w:t xml:space="preserve">5. Explicar o racional subjacente à sequência com que cada solução/fármaco foi administrada. </w:t>
      </w:r>
    </w:p>
    <w:p w14:paraId="4757CAB2" w14:textId="7A2A2491" w:rsidR="006E343E" w:rsidRDefault="00491D8C">
      <w:pPr>
        <w:rPr>
          <w:lang w:val="en-GB"/>
        </w:rPr>
      </w:pPr>
      <w:r w:rsidRPr="005F5E3A">
        <w:rPr>
          <w:lang w:val="en-GB"/>
        </w:rPr>
        <w:t>Explain the rationale behind the sequence in</w:t>
      </w:r>
      <w:r w:rsidRPr="00491D8C">
        <w:rPr>
          <w:lang w:val="en-GB"/>
        </w:rPr>
        <w:t xml:space="preserve"> which each solution/drug was administered.</w:t>
      </w:r>
    </w:p>
    <w:p w14:paraId="07853092" w14:textId="77777777" w:rsidR="00012615" w:rsidRDefault="00012615">
      <w:pPr>
        <w:rPr>
          <w:lang w:val="en-GB"/>
        </w:rPr>
      </w:pPr>
    </w:p>
    <w:p w14:paraId="35557854" w14:textId="25B0A83C" w:rsidR="007750FE" w:rsidRPr="005F5E3A" w:rsidRDefault="00511F0E">
      <w:pPr>
        <w:rPr>
          <w:lang w:val="pt-PT"/>
        </w:rPr>
      </w:pPr>
      <w:r w:rsidRPr="005F5E3A">
        <w:rPr>
          <w:lang w:val="pt-PT"/>
        </w:rPr>
        <w:t xml:space="preserve">O palonossetro </w:t>
      </w:r>
      <w:r w:rsidR="007750FE" w:rsidRPr="005F5E3A">
        <w:rPr>
          <w:lang w:val="pt-PT"/>
        </w:rPr>
        <w:t>e a dexametasona</w:t>
      </w:r>
      <w:r w:rsidRPr="005F5E3A">
        <w:rPr>
          <w:lang w:val="pt-PT"/>
        </w:rPr>
        <w:t xml:space="preserve"> </w:t>
      </w:r>
      <w:r w:rsidR="007750FE" w:rsidRPr="005F5E3A">
        <w:rPr>
          <w:lang w:val="pt-PT"/>
        </w:rPr>
        <w:t xml:space="preserve">são </w:t>
      </w:r>
      <w:r w:rsidRPr="005F5E3A">
        <w:rPr>
          <w:lang w:val="pt-PT"/>
        </w:rPr>
        <w:t>antiémetico</w:t>
      </w:r>
      <w:r w:rsidR="007750FE" w:rsidRPr="005F5E3A">
        <w:rPr>
          <w:lang w:val="pt-PT"/>
        </w:rPr>
        <w:t>s</w:t>
      </w:r>
      <w:r w:rsidRPr="005F5E3A">
        <w:rPr>
          <w:lang w:val="pt-PT"/>
        </w:rPr>
        <w:t xml:space="preserve"> que t</w:t>
      </w:r>
      <w:r w:rsidR="007750FE" w:rsidRPr="005F5E3A">
        <w:rPr>
          <w:lang w:val="pt-PT"/>
        </w:rPr>
        <w:t>ê</w:t>
      </w:r>
      <w:r w:rsidRPr="005F5E3A">
        <w:rPr>
          <w:lang w:val="pt-PT"/>
        </w:rPr>
        <w:t>m como objetivo prevenir náus</w:t>
      </w:r>
      <w:r w:rsidR="002908EA" w:rsidRPr="005F5E3A">
        <w:rPr>
          <w:lang w:val="pt-PT"/>
        </w:rPr>
        <w:t>ea</w:t>
      </w:r>
      <w:r w:rsidRPr="005F5E3A">
        <w:rPr>
          <w:lang w:val="pt-PT"/>
        </w:rPr>
        <w:t>s e vómitos</w:t>
      </w:r>
      <w:r w:rsidR="009D39A2" w:rsidRPr="005F5E3A">
        <w:rPr>
          <w:lang w:val="pt-PT"/>
        </w:rPr>
        <w:t xml:space="preserve"> resultantes da administração </w:t>
      </w:r>
      <w:r w:rsidR="00FA0092" w:rsidRPr="005F5E3A">
        <w:rPr>
          <w:lang w:val="pt-PT"/>
        </w:rPr>
        <w:t>de quimioterápicos, assim de</w:t>
      </w:r>
      <w:r w:rsidR="00564A97" w:rsidRPr="005F5E3A">
        <w:rPr>
          <w:lang w:val="pt-PT"/>
        </w:rPr>
        <w:t>v</w:t>
      </w:r>
      <w:r w:rsidR="00FA0092" w:rsidRPr="005F5E3A">
        <w:rPr>
          <w:lang w:val="pt-PT"/>
        </w:rPr>
        <w:t>e</w:t>
      </w:r>
      <w:r w:rsidR="007750FE" w:rsidRPr="005F5E3A">
        <w:rPr>
          <w:lang w:val="pt-PT"/>
        </w:rPr>
        <w:t>m</w:t>
      </w:r>
      <w:r w:rsidR="00FA0092" w:rsidRPr="005F5E3A">
        <w:rPr>
          <w:lang w:val="pt-PT"/>
        </w:rPr>
        <w:t xml:space="preserve"> ser sempre administrado</w:t>
      </w:r>
      <w:r w:rsidR="00170C3F" w:rsidRPr="005F5E3A">
        <w:rPr>
          <w:lang w:val="pt-PT"/>
        </w:rPr>
        <w:t>s</w:t>
      </w:r>
      <w:r w:rsidR="00FA0092" w:rsidRPr="005F5E3A">
        <w:rPr>
          <w:lang w:val="pt-PT"/>
        </w:rPr>
        <w:t xml:space="preserve"> antes deste</w:t>
      </w:r>
      <w:r w:rsidR="00170C3F" w:rsidRPr="005F5E3A">
        <w:rPr>
          <w:lang w:val="pt-PT"/>
        </w:rPr>
        <w:t xml:space="preserve"> (bevacizumab)</w:t>
      </w:r>
      <w:r w:rsidR="00FA0092" w:rsidRPr="005F5E3A">
        <w:rPr>
          <w:lang w:val="pt-PT"/>
        </w:rPr>
        <w:t>.</w:t>
      </w:r>
      <w:r w:rsidR="00170C3F" w:rsidRPr="005F5E3A">
        <w:rPr>
          <w:lang w:val="pt-PT"/>
        </w:rPr>
        <w:t xml:space="preserve"> A dexametasona </w:t>
      </w:r>
      <w:r w:rsidR="004D4D20" w:rsidRPr="005F5E3A">
        <w:rPr>
          <w:lang w:val="pt-PT"/>
        </w:rPr>
        <w:t>poderá</w:t>
      </w:r>
      <w:r w:rsidR="00D37D08" w:rsidRPr="005F5E3A">
        <w:rPr>
          <w:lang w:val="pt-PT"/>
        </w:rPr>
        <w:t xml:space="preserve"> ser administrada, não só antes do quimioterápico, mas</w:t>
      </w:r>
      <w:r w:rsidR="006776EC" w:rsidRPr="005F5E3A">
        <w:rPr>
          <w:lang w:val="pt-PT"/>
        </w:rPr>
        <w:t>, também,</w:t>
      </w:r>
      <w:r w:rsidR="00D37D08" w:rsidRPr="005F5E3A">
        <w:rPr>
          <w:lang w:val="pt-PT"/>
        </w:rPr>
        <w:t xml:space="preserve"> </w:t>
      </w:r>
      <w:r w:rsidR="006776EC" w:rsidRPr="005F5E3A">
        <w:rPr>
          <w:lang w:val="pt-PT"/>
        </w:rPr>
        <w:t xml:space="preserve">nos 2 dias seguintes </w:t>
      </w:r>
      <w:r w:rsidR="00C56BC6" w:rsidRPr="005F5E3A">
        <w:rPr>
          <w:lang w:val="pt-PT"/>
        </w:rPr>
        <w:t>quando necessário.</w:t>
      </w:r>
    </w:p>
    <w:p w14:paraId="29DBACFC" w14:textId="30F798E0" w:rsidR="00C56BC6" w:rsidRPr="005F5E3A" w:rsidRDefault="00676A47">
      <w:pPr>
        <w:rPr>
          <w:lang w:val="pt-PT"/>
        </w:rPr>
      </w:pPr>
      <w:r w:rsidRPr="005F5E3A">
        <w:rPr>
          <w:lang w:val="pt-PT"/>
        </w:rPr>
        <w:t>O Irinotecano</w:t>
      </w:r>
      <w:r w:rsidR="001A541F" w:rsidRPr="005F5E3A">
        <w:rPr>
          <w:lang w:val="pt-PT"/>
        </w:rPr>
        <w:t>, de</w:t>
      </w:r>
      <w:r w:rsidR="00C320A3" w:rsidRPr="005F5E3A">
        <w:rPr>
          <w:lang w:val="pt-PT"/>
        </w:rPr>
        <w:t>v</w:t>
      </w:r>
      <w:r w:rsidR="001A541F" w:rsidRPr="005F5E3A">
        <w:rPr>
          <w:lang w:val="pt-PT"/>
        </w:rPr>
        <w:t xml:space="preserve">ido á </w:t>
      </w:r>
      <w:r w:rsidR="002C1AF8" w:rsidRPr="005F5E3A">
        <w:rPr>
          <w:lang w:val="pt-PT"/>
        </w:rPr>
        <w:t xml:space="preserve">sua </w:t>
      </w:r>
      <w:r w:rsidR="001A541F" w:rsidRPr="005F5E3A">
        <w:rPr>
          <w:lang w:val="pt-PT"/>
        </w:rPr>
        <w:t xml:space="preserve">atividade </w:t>
      </w:r>
      <w:r w:rsidR="00C52F81" w:rsidRPr="005F5E3A">
        <w:rPr>
          <w:lang w:val="pt-PT"/>
        </w:rPr>
        <w:t xml:space="preserve">anti-acetilcolinèrgica, pode </w:t>
      </w:r>
      <w:r w:rsidR="00583BAD" w:rsidRPr="005F5E3A">
        <w:rPr>
          <w:lang w:val="pt-PT"/>
        </w:rPr>
        <w:t xml:space="preserve">dar origen ao síndrome colinérgico agudo, caracterizado por </w:t>
      </w:r>
      <w:r w:rsidR="00EC1D0E" w:rsidRPr="005F5E3A">
        <w:rPr>
          <w:lang w:val="pt-PT"/>
        </w:rPr>
        <w:t>diar</w:t>
      </w:r>
      <w:r w:rsidR="00CB486E" w:rsidRPr="005F5E3A">
        <w:rPr>
          <w:lang w:val="pt-PT"/>
        </w:rPr>
        <w:t>reia, dor abdominal</w:t>
      </w:r>
      <w:r w:rsidR="00DF497E" w:rsidRPr="005F5E3A">
        <w:rPr>
          <w:lang w:val="pt-PT"/>
        </w:rPr>
        <w:t xml:space="preserve"> e </w:t>
      </w:r>
      <w:r w:rsidR="00CB486E" w:rsidRPr="005F5E3A">
        <w:rPr>
          <w:lang w:val="pt-PT"/>
        </w:rPr>
        <w:t>hipersalivação</w:t>
      </w:r>
      <w:r w:rsidR="00DF497E" w:rsidRPr="005F5E3A">
        <w:rPr>
          <w:lang w:val="pt-PT"/>
        </w:rPr>
        <w:t xml:space="preserve">. De modo a prevenirmos este efeito secundário </w:t>
      </w:r>
      <w:r w:rsidR="00F058C5" w:rsidRPr="005F5E3A">
        <w:rPr>
          <w:lang w:val="pt-PT"/>
        </w:rPr>
        <w:t xml:space="preserve">é </w:t>
      </w:r>
      <w:r w:rsidR="00DF497E" w:rsidRPr="005F5E3A">
        <w:rPr>
          <w:lang w:val="pt-PT"/>
        </w:rPr>
        <w:t>administrad</w:t>
      </w:r>
      <w:r w:rsidR="00064ED2" w:rsidRPr="005F5E3A">
        <w:rPr>
          <w:lang w:val="pt-PT"/>
        </w:rPr>
        <w:t>o atropina antes da do irinotecano, sendo a atropina um anti-muscarinico</w:t>
      </w:r>
      <w:r w:rsidR="00DA0C4C" w:rsidRPr="005F5E3A">
        <w:rPr>
          <w:lang w:val="pt-PT"/>
        </w:rPr>
        <w:t xml:space="preserve"> e a sua administração associada com a diminuição do risco de</w:t>
      </w:r>
      <w:r w:rsidR="00DF497E" w:rsidRPr="005F5E3A">
        <w:rPr>
          <w:lang w:val="pt-PT"/>
        </w:rPr>
        <w:t xml:space="preserve"> </w:t>
      </w:r>
      <w:r w:rsidR="001A3453" w:rsidRPr="005F5E3A">
        <w:rPr>
          <w:lang w:val="pt-PT"/>
        </w:rPr>
        <w:t xml:space="preserve">desenvolvimento do síndrome colinérgico agudo. </w:t>
      </w:r>
    </w:p>
    <w:p w14:paraId="0365CBC5" w14:textId="06E01105" w:rsidR="00AC52E4" w:rsidRPr="005F5E3A" w:rsidRDefault="00AC52E4">
      <w:pPr>
        <w:rPr>
          <w:rFonts w:ascii="Segoe UI" w:hAnsi="Segoe UI" w:cs="Segoe UI"/>
          <w:color w:val="212121"/>
          <w:shd w:val="clear" w:color="auto" w:fill="FFFFFF"/>
          <w:lang w:val="en-GB"/>
        </w:rPr>
      </w:pPr>
      <w:r w:rsidRPr="005F5E3A">
        <w:rPr>
          <w:rFonts w:ascii="Segoe UI" w:hAnsi="Segoe UI" w:cs="Segoe UI"/>
          <w:color w:val="212121"/>
          <w:shd w:val="clear" w:color="auto" w:fill="FFFFFF"/>
          <w:lang w:val="pt-PT"/>
        </w:rPr>
        <w:t xml:space="preserve">( Kanbayashi Y, Ishikawa T, Kanazawa M, Nakajima Y, Tabuchi Y, Kawano R, Yoshioka T, Yoshida N, Hosokawa T, Takayama K, Taguchi T. Predictive factors for the development of irinotecan-related cholinergic syndrome using ordered logistic regression analysis. </w:t>
      </w:r>
      <w:r w:rsidRPr="005F5E3A">
        <w:rPr>
          <w:rFonts w:ascii="Segoe UI" w:hAnsi="Segoe UI" w:cs="Segoe UI"/>
          <w:color w:val="212121"/>
          <w:shd w:val="clear" w:color="auto" w:fill="FFFFFF"/>
          <w:lang w:val="en-GB"/>
        </w:rPr>
        <w:t xml:space="preserve">Med Oncol. 2018 Apr 28;35(6):82. </w:t>
      </w:r>
      <w:proofErr w:type="spellStart"/>
      <w:r w:rsidRPr="005F5E3A">
        <w:rPr>
          <w:rFonts w:ascii="Segoe UI" w:hAnsi="Segoe UI" w:cs="Segoe UI"/>
          <w:color w:val="212121"/>
          <w:shd w:val="clear" w:color="auto" w:fill="FFFFFF"/>
          <w:lang w:val="en-GB"/>
        </w:rPr>
        <w:t>doi</w:t>
      </w:r>
      <w:proofErr w:type="spellEnd"/>
      <w:r w:rsidRPr="005F5E3A">
        <w:rPr>
          <w:rFonts w:ascii="Segoe UI" w:hAnsi="Segoe UI" w:cs="Segoe UI"/>
          <w:color w:val="212121"/>
          <w:shd w:val="clear" w:color="auto" w:fill="FFFFFF"/>
          <w:lang w:val="en-GB"/>
        </w:rPr>
        <w:t>: 10.1007/s12032-018-1142-3. PMID: 29705823</w:t>
      </w:r>
      <w:proofErr w:type="gramStart"/>
      <w:r w:rsidRPr="005F5E3A">
        <w:rPr>
          <w:rFonts w:ascii="Segoe UI" w:hAnsi="Segoe UI" w:cs="Segoe UI"/>
          <w:color w:val="212121"/>
          <w:shd w:val="clear" w:color="auto" w:fill="FFFFFF"/>
          <w:lang w:val="en-GB"/>
        </w:rPr>
        <w:t>. )</w:t>
      </w:r>
      <w:proofErr w:type="gramEnd"/>
    </w:p>
    <w:p w14:paraId="31CBB32A" w14:textId="59D8D300" w:rsidR="00344AA0" w:rsidRDefault="00000000">
      <w:pPr>
        <w:rPr>
          <w:lang w:val="en-GB"/>
        </w:rPr>
      </w:pPr>
      <w:hyperlink r:id="rId5" w:history="1">
        <w:r w:rsidR="00344AA0" w:rsidRPr="00344AA0">
          <w:rPr>
            <w:rStyle w:val="Hipervnculo"/>
            <w:lang w:val="en-GB"/>
          </w:rPr>
          <w:t>Microsoft Word - 638020347664873335.doc (infarmed.pt)</w:t>
        </w:r>
      </w:hyperlink>
      <w:r w:rsidR="00344AA0" w:rsidRPr="00344AA0">
        <w:rPr>
          <w:lang w:val="en-GB"/>
        </w:rPr>
        <w:t xml:space="preserve"> </w:t>
      </w:r>
    </w:p>
    <w:p w14:paraId="66CCDED7" w14:textId="10271F1C" w:rsidR="00344AA0" w:rsidRPr="005F5E3A" w:rsidRDefault="00000000">
      <w:pPr>
        <w:rPr>
          <w:lang w:val="en-GB"/>
        </w:rPr>
      </w:pPr>
      <w:hyperlink r:id="rId6" w:history="1">
        <w:r w:rsidR="00AA7B30" w:rsidRPr="005F5E3A">
          <w:rPr>
            <w:rStyle w:val="Hipervnculo"/>
            <w:lang w:val="en-GB"/>
          </w:rPr>
          <w:t>Microsoft Word - 638047136262333519.doc (infarmed.pt)</w:t>
        </w:r>
      </w:hyperlink>
    </w:p>
    <w:p w14:paraId="5EBE5CFB" w14:textId="40B61D4E" w:rsidR="00AA7B30" w:rsidRPr="005F5E3A" w:rsidRDefault="00000000">
      <w:pPr>
        <w:rPr>
          <w:lang w:val="en-GB"/>
        </w:rPr>
      </w:pPr>
      <w:hyperlink r:id="rId7" w:history="1">
        <w:r w:rsidR="00AA7B30" w:rsidRPr="005F5E3A">
          <w:rPr>
            <w:rStyle w:val="Hipervnculo"/>
            <w:lang w:val="en-GB"/>
          </w:rPr>
          <w:t>Microsoft Word - 638041230325461055.doc (infarmed.pt)</w:t>
        </w:r>
      </w:hyperlink>
    </w:p>
    <w:p w14:paraId="7BE78792" w14:textId="2A6B4D7C" w:rsidR="00AA7B30" w:rsidRPr="005F5E3A" w:rsidRDefault="00000000">
      <w:pPr>
        <w:rPr>
          <w:lang w:val="en-GB"/>
        </w:rPr>
      </w:pPr>
      <w:hyperlink r:id="rId8" w:history="1">
        <w:proofErr w:type="spellStart"/>
        <w:r w:rsidR="00AA7B30" w:rsidRPr="005F5E3A">
          <w:rPr>
            <w:rStyle w:val="Hipervnculo"/>
            <w:lang w:val="en-GB"/>
          </w:rPr>
          <w:t>Abevmy</w:t>
        </w:r>
        <w:proofErr w:type="spellEnd"/>
        <w:r w:rsidR="00AA7B30" w:rsidRPr="005F5E3A">
          <w:rPr>
            <w:rStyle w:val="Hipervnculo"/>
            <w:lang w:val="en-GB"/>
          </w:rPr>
          <w:t>, INN-bevacizumab (europa.eu)</w:t>
        </w:r>
      </w:hyperlink>
      <w:r w:rsidR="00AA7B30" w:rsidRPr="005F5E3A">
        <w:rPr>
          <w:lang w:val="en-GB"/>
        </w:rPr>
        <w:t xml:space="preserve"> </w:t>
      </w:r>
    </w:p>
    <w:p w14:paraId="18CCC3BA" w14:textId="51436A4B" w:rsidR="00AA7B30" w:rsidRDefault="00000000">
      <w:hyperlink r:id="rId9" w:history="1">
        <w:proofErr w:type="spellStart"/>
        <w:r w:rsidR="00AA7B30">
          <w:rPr>
            <w:rStyle w:val="Hipervnculo"/>
          </w:rPr>
          <w:t>Aloxi</w:t>
        </w:r>
        <w:proofErr w:type="spellEnd"/>
        <w:r w:rsidR="00AA7B30">
          <w:rPr>
            <w:rStyle w:val="Hipervnculo"/>
          </w:rPr>
          <w:t>, INN-</w:t>
        </w:r>
        <w:proofErr w:type="spellStart"/>
        <w:r w:rsidR="00AA7B30">
          <w:rPr>
            <w:rStyle w:val="Hipervnculo"/>
          </w:rPr>
          <w:t>palonosetron</w:t>
        </w:r>
        <w:proofErr w:type="spellEnd"/>
        <w:r w:rsidR="00AA7B30">
          <w:rPr>
            <w:rStyle w:val="Hipervnculo"/>
          </w:rPr>
          <w:t xml:space="preserve"> </w:t>
        </w:r>
        <w:proofErr w:type="spellStart"/>
        <w:r w:rsidR="00AA7B30">
          <w:rPr>
            <w:rStyle w:val="Hipervnculo"/>
          </w:rPr>
          <w:t>hydrochloride</w:t>
        </w:r>
        <w:proofErr w:type="spellEnd"/>
        <w:r w:rsidR="00AA7B30">
          <w:rPr>
            <w:rStyle w:val="Hipervnculo"/>
          </w:rPr>
          <w:t xml:space="preserve"> (europa.eu)</w:t>
        </w:r>
      </w:hyperlink>
      <w:r w:rsidR="00AA7B30">
        <w:t xml:space="preserve"> </w:t>
      </w:r>
    </w:p>
    <w:p w14:paraId="17033987" w14:textId="316C3D28" w:rsidR="005F5E3A" w:rsidRPr="00AA7B30" w:rsidRDefault="005F5E3A">
      <w:hyperlink r:id="rId10" w:history="1">
        <w:r w:rsidRPr="004A729C">
          <w:rPr>
            <w:rStyle w:val="Hipervnculo"/>
          </w:rPr>
          <w:t>https://extranet.infarmed.pt/INFOMED-fo/detalhes-medicamento.xhtml</w:t>
        </w:r>
      </w:hyperlink>
      <w:r>
        <w:t xml:space="preserve"> </w:t>
      </w:r>
    </w:p>
    <w:sectPr w:rsidR="005F5E3A" w:rsidRPr="00AA7B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43E"/>
    <w:rsid w:val="00005EC5"/>
    <w:rsid w:val="00012615"/>
    <w:rsid w:val="000647DA"/>
    <w:rsid w:val="00064ED2"/>
    <w:rsid w:val="000C6242"/>
    <w:rsid w:val="000E3CC4"/>
    <w:rsid w:val="00113550"/>
    <w:rsid w:val="00164A4C"/>
    <w:rsid w:val="00170C3F"/>
    <w:rsid w:val="00191135"/>
    <w:rsid w:val="001A1DC5"/>
    <w:rsid w:val="001A3453"/>
    <w:rsid w:val="001A541F"/>
    <w:rsid w:val="002331EC"/>
    <w:rsid w:val="00234B1E"/>
    <w:rsid w:val="00234B46"/>
    <w:rsid w:val="0025103C"/>
    <w:rsid w:val="002908EA"/>
    <w:rsid w:val="002C1AF8"/>
    <w:rsid w:val="002C23A1"/>
    <w:rsid w:val="002E0C36"/>
    <w:rsid w:val="002F5A9A"/>
    <w:rsid w:val="00344AA0"/>
    <w:rsid w:val="00355667"/>
    <w:rsid w:val="0036663E"/>
    <w:rsid w:val="00423A67"/>
    <w:rsid w:val="00450FC2"/>
    <w:rsid w:val="00466879"/>
    <w:rsid w:val="00491D8C"/>
    <w:rsid w:val="004B2A76"/>
    <w:rsid w:val="004C3CA9"/>
    <w:rsid w:val="004D4D20"/>
    <w:rsid w:val="00511F0E"/>
    <w:rsid w:val="00526180"/>
    <w:rsid w:val="00542E99"/>
    <w:rsid w:val="00564A97"/>
    <w:rsid w:val="00583BAD"/>
    <w:rsid w:val="005950BF"/>
    <w:rsid w:val="005A1591"/>
    <w:rsid w:val="005B40B9"/>
    <w:rsid w:val="005F5E3A"/>
    <w:rsid w:val="00602ABA"/>
    <w:rsid w:val="00651B13"/>
    <w:rsid w:val="00676A47"/>
    <w:rsid w:val="006776EC"/>
    <w:rsid w:val="006C28F2"/>
    <w:rsid w:val="006E343E"/>
    <w:rsid w:val="006E785B"/>
    <w:rsid w:val="00752B3F"/>
    <w:rsid w:val="007750FE"/>
    <w:rsid w:val="007A6A16"/>
    <w:rsid w:val="007D746A"/>
    <w:rsid w:val="007F1426"/>
    <w:rsid w:val="007F37BE"/>
    <w:rsid w:val="0082156A"/>
    <w:rsid w:val="00823241"/>
    <w:rsid w:val="0082755E"/>
    <w:rsid w:val="00843FD2"/>
    <w:rsid w:val="00894460"/>
    <w:rsid w:val="00896826"/>
    <w:rsid w:val="008E6088"/>
    <w:rsid w:val="008F3FC5"/>
    <w:rsid w:val="009431D2"/>
    <w:rsid w:val="009D39A2"/>
    <w:rsid w:val="009E205E"/>
    <w:rsid w:val="00A56069"/>
    <w:rsid w:val="00A94284"/>
    <w:rsid w:val="00AA6763"/>
    <w:rsid w:val="00AA7B30"/>
    <w:rsid w:val="00AC52E4"/>
    <w:rsid w:val="00B23D75"/>
    <w:rsid w:val="00B65F16"/>
    <w:rsid w:val="00B81B4C"/>
    <w:rsid w:val="00BC6F4D"/>
    <w:rsid w:val="00BC765B"/>
    <w:rsid w:val="00BD5404"/>
    <w:rsid w:val="00C21485"/>
    <w:rsid w:val="00C320A3"/>
    <w:rsid w:val="00C52F81"/>
    <w:rsid w:val="00C56BC6"/>
    <w:rsid w:val="00C820D4"/>
    <w:rsid w:val="00CB486E"/>
    <w:rsid w:val="00CE5BB6"/>
    <w:rsid w:val="00D01745"/>
    <w:rsid w:val="00D264E4"/>
    <w:rsid w:val="00D35AD3"/>
    <w:rsid w:val="00D37D08"/>
    <w:rsid w:val="00D4425F"/>
    <w:rsid w:val="00D60947"/>
    <w:rsid w:val="00DA0C4C"/>
    <w:rsid w:val="00DF497E"/>
    <w:rsid w:val="00E17B45"/>
    <w:rsid w:val="00E30EE0"/>
    <w:rsid w:val="00EC1D0E"/>
    <w:rsid w:val="00ED5F75"/>
    <w:rsid w:val="00EE242A"/>
    <w:rsid w:val="00EF7D62"/>
    <w:rsid w:val="00F058C5"/>
    <w:rsid w:val="00F42534"/>
    <w:rsid w:val="00F67039"/>
    <w:rsid w:val="00FA0092"/>
    <w:rsid w:val="00FA7BD9"/>
    <w:rsid w:val="00FF3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F02B5"/>
  <w15:chartTrackingRefBased/>
  <w15:docId w15:val="{2ECA4BA4-C92C-4DFC-9DB7-3A713A1A6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5566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44AA0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5F5E3A"/>
    <w:rPr>
      <w:color w:val="954F72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F5E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98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ma.europa.eu/en/documents/product-information/abevmy-epar-product-information_pt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xtranet.infarmed.pt/INFOMED-fo/pesquisa-avancada.xht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xtranet.infarmed.pt/INFOMED-fo/pesquisa-avancada.x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xtranet.infarmed.pt/INFOMED-fo/pesquisa-avancada.xhtml" TargetMode="External"/><Relationship Id="rId10" Type="http://schemas.openxmlformats.org/officeDocument/2006/relationships/hyperlink" Target="https://extranet.infarmed.pt/INFOMED-fo/detalhes-medicamento.xhtml" TargetMode="External"/><Relationship Id="rId4" Type="http://schemas.openxmlformats.org/officeDocument/2006/relationships/hyperlink" Target="http://www.nccn.org/patients" TargetMode="External"/><Relationship Id="rId9" Type="http://schemas.openxmlformats.org/officeDocument/2006/relationships/hyperlink" Target="https://www.ema.europa.eu/en/documents/product-information/aloxi-epar-product-information_pt.pd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1001</TotalTime>
  <Pages>2</Pages>
  <Words>822</Words>
  <Characters>4523</Characters>
  <Application>Microsoft Office Word</Application>
  <DocSecurity>0</DocSecurity>
  <Lines>37</Lines>
  <Paragraphs>10</Paragraphs>
  <ScaleCrop>false</ScaleCrop>
  <Company/>
  <LinksUpToDate>false</LinksUpToDate>
  <CharactersWithSpaces>5335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 4</dc:creator>
  <cp:keywords/>
  <dc:description/>
  <cp:lastModifiedBy>Alba 4</cp:lastModifiedBy>
  <cp:revision>103</cp:revision>
  <dcterms:created xsi:type="dcterms:W3CDTF">2022-12-04T11:24:00Z</dcterms:created>
  <dcterms:modified xsi:type="dcterms:W3CDTF">2022-12-05T18:23:00Z</dcterms:modified>
</cp:coreProperties>
</file>