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CBDC" w14:textId="77777777" w:rsidR="004B2570" w:rsidRPr="00607232" w:rsidRDefault="004B2570" w:rsidP="004B2570">
      <w:pPr>
        <w:rPr>
          <w:rFonts w:ascii="Times New Roman" w:hAnsi="Times New Roman" w:cs="Times New Roman"/>
        </w:rPr>
      </w:pPr>
      <w:r w:rsidRPr="00607232">
        <w:rPr>
          <w:rFonts w:ascii="Times New Roman" w:hAnsi="Times New Roman" w:cs="Times New Roman"/>
          <w:i/>
          <w:iCs/>
        </w:rPr>
        <w:t>The table below shows the financial performance by various metrics for different types of Australian farms across three years. Each figure given is the average per farm. Rate of return excludes capital appreciation of farm resources, such as land, buildings or equipment.</w:t>
      </w:r>
    </w:p>
    <w:p w14:paraId="6CFC6DB1" w14:textId="77777777" w:rsidR="004B2570" w:rsidRPr="00607232" w:rsidRDefault="004B2570" w:rsidP="004B2570">
      <w:pPr>
        <w:rPr>
          <w:rFonts w:ascii="Times New Roman" w:hAnsi="Times New Roman" w:cs="Times New Roman"/>
        </w:rPr>
      </w:pPr>
    </w:p>
    <w:p w14:paraId="2B09170A" w14:textId="77777777" w:rsidR="004B2570" w:rsidRPr="00607232" w:rsidRDefault="004B2570" w:rsidP="00607232">
      <w:pPr>
        <w:jc w:val="center"/>
        <w:rPr>
          <w:rFonts w:ascii="Times New Roman" w:hAnsi="Times New Roman" w:cs="Times New Roman"/>
          <w:b/>
          <w:bCs/>
        </w:rPr>
      </w:pPr>
      <w:r w:rsidRPr="00607232">
        <w:rPr>
          <w:rFonts w:ascii="Times New Roman" w:hAnsi="Times New Roman" w:cs="Times New Roman"/>
          <w:b/>
          <w:bCs/>
        </w:rPr>
        <w:t>Financial performance of Australian farms, 2014–15 to 2016–17</w:t>
      </w:r>
    </w:p>
    <w:p w14:paraId="16C5984D" w14:textId="77777777" w:rsidR="004B2570" w:rsidRPr="00607232" w:rsidRDefault="004B2570" w:rsidP="004B2570">
      <w:pPr>
        <w:rPr>
          <w:rFonts w:ascii="Times New Roman" w:hAnsi="Times New Roman" w:cs="Times New Roman"/>
        </w:rPr>
      </w:pPr>
    </w:p>
    <w:tbl>
      <w:tblPr>
        <w:tblStyle w:val="TableGrid"/>
        <w:tblW w:w="0" w:type="auto"/>
        <w:tblLook w:val="04A0" w:firstRow="1" w:lastRow="0" w:firstColumn="1" w:lastColumn="0" w:noHBand="0" w:noVBand="1"/>
      </w:tblPr>
      <w:tblGrid>
        <w:gridCol w:w="1382"/>
        <w:gridCol w:w="966"/>
        <w:gridCol w:w="1012"/>
        <w:gridCol w:w="1016"/>
        <w:gridCol w:w="263"/>
        <w:gridCol w:w="1381"/>
        <w:gridCol w:w="966"/>
        <w:gridCol w:w="1014"/>
        <w:gridCol w:w="1016"/>
      </w:tblGrid>
      <w:tr w:rsidR="00607232" w:rsidRPr="00607232" w14:paraId="7026BDFC" w14:textId="77777777" w:rsidTr="00607232">
        <w:trPr>
          <w:trHeight w:val="321"/>
        </w:trPr>
        <w:tc>
          <w:tcPr>
            <w:tcW w:w="1413" w:type="dxa"/>
            <w:vMerge w:val="restart"/>
          </w:tcPr>
          <w:p w14:paraId="35708842" w14:textId="77777777" w:rsidR="004B2570" w:rsidRPr="00607232" w:rsidRDefault="004B2570" w:rsidP="00F47F74">
            <w:pPr>
              <w:rPr>
                <w:rFonts w:ascii="Times New Roman" w:hAnsi="Times New Roman" w:cs="Times New Roman"/>
              </w:rPr>
            </w:pPr>
          </w:p>
        </w:tc>
        <w:tc>
          <w:tcPr>
            <w:tcW w:w="3000" w:type="dxa"/>
            <w:gridSpan w:val="3"/>
          </w:tcPr>
          <w:p w14:paraId="39280DFD" w14:textId="77777777" w:rsidR="004B2570" w:rsidRPr="00607232" w:rsidRDefault="004B2570" w:rsidP="00F47F74">
            <w:pPr>
              <w:jc w:val="center"/>
              <w:rPr>
                <w:rFonts w:ascii="Times New Roman" w:hAnsi="Times New Roman" w:cs="Times New Roman"/>
                <w:b/>
                <w:bCs/>
              </w:rPr>
            </w:pPr>
            <w:r w:rsidRPr="00607232">
              <w:rPr>
                <w:rFonts w:ascii="Times New Roman" w:hAnsi="Times New Roman" w:cs="Times New Roman"/>
                <w:b/>
                <w:bCs/>
              </w:rPr>
              <w:t>Beef farms</w:t>
            </w:r>
          </w:p>
        </w:tc>
        <w:tc>
          <w:tcPr>
            <w:tcW w:w="266" w:type="dxa"/>
            <w:tcBorders>
              <w:top w:val="single" w:sz="4" w:space="0" w:color="auto"/>
              <w:bottom w:val="nil"/>
            </w:tcBorders>
          </w:tcPr>
          <w:p w14:paraId="50AD7DB9" w14:textId="77777777" w:rsidR="004B2570" w:rsidRPr="00607232" w:rsidRDefault="004B2570" w:rsidP="00F47F74">
            <w:pPr>
              <w:rPr>
                <w:rFonts w:ascii="Times New Roman" w:hAnsi="Times New Roman" w:cs="Times New Roman"/>
              </w:rPr>
            </w:pPr>
          </w:p>
        </w:tc>
        <w:tc>
          <w:tcPr>
            <w:tcW w:w="1412" w:type="dxa"/>
            <w:vMerge w:val="restart"/>
          </w:tcPr>
          <w:p w14:paraId="2ABD01BE" w14:textId="77777777" w:rsidR="004B2570" w:rsidRPr="00607232" w:rsidRDefault="004B2570" w:rsidP="00F47F74">
            <w:pPr>
              <w:rPr>
                <w:rFonts w:ascii="Times New Roman" w:hAnsi="Times New Roman" w:cs="Times New Roman"/>
              </w:rPr>
            </w:pPr>
          </w:p>
        </w:tc>
        <w:tc>
          <w:tcPr>
            <w:tcW w:w="2914" w:type="dxa"/>
            <w:gridSpan w:val="3"/>
          </w:tcPr>
          <w:p w14:paraId="2FF8A034" w14:textId="77777777" w:rsidR="004B2570" w:rsidRPr="00607232" w:rsidRDefault="004B2570" w:rsidP="00F47F74">
            <w:pPr>
              <w:jc w:val="center"/>
              <w:rPr>
                <w:rFonts w:ascii="Times New Roman" w:hAnsi="Times New Roman" w:cs="Times New Roman"/>
                <w:b/>
                <w:bCs/>
              </w:rPr>
            </w:pPr>
            <w:r w:rsidRPr="00607232">
              <w:rPr>
                <w:rFonts w:ascii="Times New Roman" w:hAnsi="Times New Roman" w:cs="Times New Roman"/>
                <w:b/>
                <w:bCs/>
              </w:rPr>
              <w:t>Dairy farms</w:t>
            </w:r>
          </w:p>
        </w:tc>
      </w:tr>
      <w:tr w:rsidR="00607232" w:rsidRPr="00607232" w14:paraId="5D4511DA" w14:textId="77777777" w:rsidTr="00607232">
        <w:trPr>
          <w:trHeight w:val="249"/>
        </w:trPr>
        <w:tc>
          <w:tcPr>
            <w:tcW w:w="1413" w:type="dxa"/>
            <w:vMerge/>
          </w:tcPr>
          <w:p w14:paraId="1953573F" w14:textId="77777777" w:rsidR="004B2570" w:rsidRPr="00607232" w:rsidRDefault="004B2570" w:rsidP="00F47F74">
            <w:pPr>
              <w:rPr>
                <w:rFonts w:ascii="Times New Roman" w:hAnsi="Times New Roman" w:cs="Times New Roman"/>
              </w:rPr>
            </w:pPr>
          </w:p>
        </w:tc>
        <w:tc>
          <w:tcPr>
            <w:tcW w:w="966" w:type="dxa"/>
          </w:tcPr>
          <w:p w14:paraId="2D46D88A" w14:textId="77777777" w:rsidR="004B2570" w:rsidRPr="00607232" w:rsidRDefault="004B2570" w:rsidP="00F47F74">
            <w:pPr>
              <w:jc w:val="center"/>
              <w:rPr>
                <w:rFonts w:ascii="Times New Roman" w:hAnsi="Times New Roman" w:cs="Times New Roman"/>
                <w:i/>
                <w:iCs/>
              </w:rPr>
            </w:pPr>
            <w:r w:rsidRPr="00607232">
              <w:rPr>
                <w:rFonts w:ascii="Times New Roman" w:hAnsi="Times New Roman" w:cs="Times New Roman"/>
                <w:i/>
                <w:iCs/>
              </w:rPr>
              <w:t>2014–15</w:t>
            </w:r>
          </w:p>
        </w:tc>
        <w:tc>
          <w:tcPr>
            <w:tcW w:w="1015" w:type="dxa"/>
          </w:tcPr>
          <w:p w14:paraId="11EDF902" w14:textId="77777777" w:rsidR="004B2570" w:rsidRPr="00607232" w:rsidRDefault="004B2570" w:rsidP="00F47F74">
            <w:pPr>
              <w:jc w:val="center"/>
              <w:rPr>
                <w:rFonts w:ascii="Times New Roman" w:hAnsi="Times New Roman" w:cs="Times New Roman"/>
                <w:i/>
                <w:iCs/>
              </w:rPr>
            </w:pPr>
            <w:r w:rsidRPr="00607232">
              <w:rPr>
                <w:rFonts w:ascii="Times New Roman" w:hAnsi="Times New Roman" w:cs="Times New Roman"/>
                <w:i/>
                <w:iCs/>
              </w:rPr>
              <w:t>2015–16</w:t>
            </w:r>
          </w:p>
        </w:tc>
        <w:tc>
          <w:tcPr>
            <w:tcW w:w="1019" w:type="dxa"/>
          </w:tcPr>
          <w:p w14:paraId="71767127" w14:textId="77777777" w:rsidR="004B2570" w:rsidRPr="00607232" w:rsidRDefault="004B2570" w:rsidP="00F47F74">
            <w:pPr>
              <w:jc w:val="center"/>
              <w:rPr>
                <w:rFonts w:ascii="Times New Roman" w:hAnsi="Times New Roman" w:cs="Times New Roman"/>
                <w:i/>
                <w:iCs/>
              </w:rPr>
            </w:pPr>
            <w:r w:rsidRPr="00607232">
              <w:rPr>
                <w:rFonts w:ascii="Times New Roman" w:hAnsi="Times New Roman" w:cs="Times New Roman"/>
                <w:i/>
                <w:iCs/>
              </w:rPr>
              <w:t>2016–17</w:t>
            </w:r>
          </w:p>
        </w:tc>
        <w:tc>
          <w:tcPr>
            <w:tcW w:w="266" w:type="dxa"/>
            <w:tcBorders>
              <w:top w:val="nil"/>
              <w:bottom w:val="nil"/>
            </w:tcBorders>
          </w:tcPr>
          <w:p w14:paraId="67DFE48B" w14:textId="77777777" w:rsidR="004B2570" w:rsidRPr="00607232" w:rsidRDefault="004B2570" w:rsidP="00F47F74">
            <w:pPr>
              <w:rPr>
                <w:rFonts w:ascii="Times New Roman" w:hAnsi="Times New Roman" w:cs="Times New Roman"/>
              </w:rPr>
            </w:pPr>
          </w:p>
        </w:tc>
        <w:tc>
          <w:tcPr>
            <w:tcW w:w="1412" w:type="dxa"/>
            <w:vMerge/>
          </w:tcPr>
          <w:p w14:paraId="134FA09C" w14:textId="77777777" w:rsidR="004B2570" w:rsidRPr="00607232" w:rsidRDefault="004B2570" w:rsidP="00F47F74">
            <w:pPr>
              <w:rPr>
                <w:rFonts w:ascii="Times New Roman" w:hAnsi="Times New Roman" w:cs="Times New Roman"/>
              </w:rPr>
            </w:pPr>
          </w:p>
        </w:tc>
        <w:tc>
          <w:tcPr>
            <w:tcW w:w="878" w:type="dxa"/>
          </w:tcPr>
          <w:p w14:paraId="70D13AAA"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i/>
                <w:iCs/>
              </w:rPr>
              <w:t>2014–15</w:t>
            </w:r>
          </w:p>
        </w:tc>
        <w:tc>
          <w:tcPr>
            <w:tcW w:w="1017" w:type="dxa"/>
          </w:tcPr>
          <w:p w14:paraId="25C47C3A"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i/>
                <w:iCs/>
              </w:rPr>
              <w:t>2015–16</w:t>
            </w:r>
          </w:p>
        </w:tc>
        <w:tc>
          <w:tcPr>
            <w:tcW w:w="1019" w:type="dxa"/>
          </w:tcPr>
          <w:p w14:paraId="7DDE8945"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i/>
                <w:iCs/>
              </w:rPr>
              <w:t>2016–17</w:t>
            </w:r>
          </w:p>
        </w:tc>
      </w:tr>
      <w:tr w:rsidR="00607232" w:rsidRPr="00607232" w14:paraId="0AE80E4A" w14:textId="77777777" w:rsidTr="00607232">
        <w:trPr>
          <w:trHeight w:val="449"/>
        </w:trPr>
        <w:tc>
          <w:tcPr>
            <w:tcW w:w="1413" w:type="dxa"/>
          </w:tcPr>
          <w:p w14:paraId="3DCAC6B7"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Cash receipts</w:t>
            </w:r>
          </w:p>
        </w:tc>
        <w:tc>
          <w:tcPr>
            <w:tcW w:w="966" w:type="dxa"/>
          </w:tcPr>
          <w:p w14:paraId="27363140"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$391,590</w:t>
            </w:r>
          </w:p>
        </w:tc>
        <w:tc>
          <w:tcPr>
            <w:tcW w:w="1015" w:type="dxa"/>
          </w:tcPr>
          <w:p w14:paraId="650C24C3"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$485,300</w:t>
            </w:r>
          </w:p>
        </w:tc>
        <w:tc>
          <w:tcPr>
            <w:tcW w:w="1019" w:type="dxa"/>
          </w:tcPr>
          <w:p w14:paraId="1DEB35BE"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$513,000</w:t>
            </w:r>
          </w:p>
        </w:tc>
        <w:tc>
          <w:tcPr>
            <w:tcW w:w="266" w:type="dxa"/>
            <w:tcBorders>
              <w:top w:val="nil"/>
              <w:bottom w:val="nil"/>
            </w:tcBorders>
          </w:tcPr>
          <w:p w14:paraId="637978E3" w14:textId="77777777" w:rsidR="004B2570" w:rsidRPr="00607232" w:rsidRDefault="004B2570" w:rsidP="00F47F74">
            <w:pPr>
              <w:rPr>
                <w:rFonts w:ascii="Times New Roman" w:hAnsi="Times New Roman" w:cs="Times New Roman"/>
              </w:rPr>
            </w:pPr>
          </w:p>
        </w:tc>
        <w:tc>
          <w:tcPr>
            <w:tcW w:w="1412" w:type="dxa"/>
          </w:tcPr>
          <w:p w14:paraId="461F8584"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Cash receipts</w:t>
            </w:r>
          </w:p>
        </w:tc>
        <w:tc>
          <w:tcPr>
            <w:tcW w:w="878" w:type="dxa"/>
          </w:tcPr>
          <w:p w14:paraId="4251E5C1"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$786,620</w:t>
            </w:r>
          </w:p>
        </w:tc>
        <w:tc>
          <w:tcPr>
            <w:tcW w:w="1017" w:type="dxa"/>
          </w:tcPr>
          <w:p w14:paraId="5AE7FDEB"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$766,800</w:t>
            </w:r>
          </w:p>
        </w:tc>
        <w:tc>
          <w:tcPr>
            <w:tcW w:w="1019" w:type="dxa"/>
          </w:tcPr>
          <w:p w14:paraId="1105144A"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$706,000</w:t>
            </w:r>
          </w:p>
        </w:tc>
      </w:tr>
      <w:tr w:rsidR="00607232" w:rsidRPr="00607232" w14:paraId="564C86BF" w14:textId="77777777" w:rsidTr="00607232">
        <w:trPr>
          <w:trHeight w:val="363"/>
        </w:trPr>
        <w:tc>
          <w:tcPr>
            <w:tcW w:w="1413" w:type="dxa"/>
          </w:tcPr>
          <w:p w14:paraId="0378D13A"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Cash costs</w:t>
            </w:r>
          </w:p>
        </w:tc>
        <w:tc>
          <w:tcPr>
            <w:tcW w:w="966" w:type="dxa"/>
          </w:tcPr>
          <w:p w14:paraId="4CFF5538"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$269,350</w:t>
            </w:r>
          </w:p>
        </w:tc>
        <w:tc>
          <w:tcPr>
            <w:tcW w:w="1015" w:type="dxa"/>
          </w:tcPr>
          <w:p w14:paraId="7A751331"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$303,900</w:t>
            </w:r>
          </w:p>
        </w:tc>
        <w:tc>
          <w:tcPr>
            <w:tcW w:w="1019" w:type="dxa"/>
          </w:tcPr>
          <w:p w14:paraId="786E346F"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$309,000</w:t>
            </w:r>
          </w:p>
        </w:tc>
        <w:tc>
          <w:tcPr>
            <w:tcW w:w="266" w:type="dxa"/>
            <w:tcBorders>
              <w:top w:val="nil"/>
              <w:bottom w:val="nil"/>
            </w:tcBorders>
          </w:tcPr>
          <w:p w14:paraId="36DE8D6C" w14:textId="77777777" w:rsidR="004B2570" w:rsidRPr="00607232" w:rsidRDefault="004B2570" w:rsidP="00F47F74">
            <w:pPr>
              <w:rPr>
                <w:rFonts w:ascii="Times New Roman" w:hAnsi="Times New Roman" w:cs="Times New Roman"/>
              </w:rPr>
            </w:pPr>
          </w:p>
        </w:tc>
        <w:tc>
          <w:tcPr>
            <w:tcW w:w="1412" w:type="dxa"/>
          </w:tcPr>
          <w:p w14:paraId="12E42EE5"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Cash costs</w:t>
            </w:r>
          </w:p>
        </w:tc>
        <w:tc>
          <w:tcPr>
            <w:tcW w:w="878" w:type="dxa"/>
          </w:tcPr>
          <w:p w14:paraId="56E7C5AE"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$629,840</w:t>
            </w:r>
          </w:p>
        </w:tc>
        <w:tc>
          <w:tcPr>
            <w:tcW w:w="1017" w:type="dxa"/>
          </w:tcPr>
          <w:p w14:paraId="149790C9"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$641,700</w:t>
            </w:r>
          </w:p>
        </w:tc>
        <w:tc>
          <w:tcPr>
            <w:tcW w:w="1019" w:type="dxa"/>
          </w:tcPr>
          <w:p w14:paraId="159A2A11"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$602,000</w:t>
            </w:r>
          </w:p>
        </w:tc>
      </w:tr>
      <w:tr w:rsidR="00607232" w:rsidRPr="00607232" w14:paraId="26E1A1C1" w14:textId="77777777" w:rsidTr="00607232">
        <w:trPr>
          <w:trHeight w:val="449"/>
        </w:trPr>
        <w:tc>
          <w:tcPr>
            <w:tcW w:w="1413" w:type="dxa"/>
          </w:tcPr>
          <w:p w14:paraId="50DA2C8C"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Farm cash income</w:t>
            </w:r>
          </w:p>
        </w:tc>
        <w:tc>
          <w:tcPr>
            <w:tcW w:w="966" w:type="dxa"/>
          </w:tcPr>
          <w:p w14:paraId="5CEBC48F"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$122,240</w:t>
            </w:r>
          </w:p>
        </w:tc>
        <w:tc>
          <w:tcPr>
            <w:tcW w:w="1015" w:type="dxa"/>
          </w:tcPr>
          <w:p w14:paraId="5BE089A6"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$181,300</w:t>
            </w:r>
          </w:p>
        </w:tc>
        <w:tc>
          <w:tcPr>
            <w:tcW w:w="1019" w:type="dxa"/>
          </w:tcPr>
          <w:p w14:paraId="500D8E21"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$204,000</w:t>
            </w:r>
          </w:p>
        </w:tc>
        <w:tc>
          <w:tcPr>
            <w:tcW w:w="266" w:type="dxa"/>
            <w:tcBorders>
              <w:top w:val="nil"/>
              <w:bottom w:val="nil"/>
            </w:tcBorders>
          </w:tcPr>
          <w:p w14:paraId="33126640" w14:textId="77777777" w:rsidR="004B2570" w:rsidRPr="00607232" w:rsidRDefault="004B2570" w:rsidP="00F47F74">
            <w:pPr>
              <w:rPr>
                <w:rFonts w:ascii="Times New Roman" w:hAnsi="Times New Roman" w:cs="Times New Roman"/>
              </w:rPr>
            </w:pPr>
          </w:p>
        </w:tc>
        <w:tc>
          <w:tcPr>
            <w:tcW w:w="1412" w:type="dxa"/>
          </w:tcPr>
          <w:p w14:paraId="63E96C0E"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Farm cash income</w:t>
            </w:r>
          </w:p>
        </w:tc>
        <w:tc>
          <w:tcPr>
            <w:tcW w:w="878" w:type="dxa"/>
          </w:tcPr>
          <w:p w14:paraId="0CE347E1"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$156,780</w:t>
            </w:r>
          </w:p>
        </w:tc>
        <w:tc>
          <w:tcPr>
            <w:tcW w:w="1017" w:type="dxa"/>
          </w:tcPr>
          <w:p w14:paraId="064940B5"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$125,100</w:t>
            </w:r>
          </w:p>
        </w:tc>
        <w:tc>
          <w:tcPr>
            <w:tcW w:w="1019" w:type="dxa"/>
          </w:tcPr>
          <w:p w14:paraId="43441B8C"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$105,000</w:t>
            </w:r>
          </w:p>
        </w:tc>
      </w:tr>
      <w:tr w:rsidR="00607232" w:rsidRPr="00607232" w14:paraId="1B360831" w14:textId="77777777" w:rsidTr="00607232">
        <w:trPr>
          <w:trHeight w:val="628"/>
        </w:trPr>
        <w:tc>
          <w:tcPr>
            <w:tcW w:w="1413" w:type="dxa"/>
          </w:tcPr>
          <w:p w14:paraId="39071F10"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Farm business profit</w:t>
            </w:r>
          </w:p>
        </w:tc>
        <w:tc>
          <w:tcPr>
            <w:tcW w:w="966" w:type="dxa"/>
          </w:tcPr>
          <w:p w14:paraId="613F7A42"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–$5,510</w:t>
            </w:r>
          </w:p>
        </w:tc>
        <w:tc>
          <w:tcPr>
            <w:tcW w:w="1015" w:type="dxa"/>
          </w:tcPr>
          <w:p w14:paraId="5B4220D3"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$73,000</w:t>
            </w:r>
          </w:p>
        </w:tc>
        <w:tc>
          <w:tcPr>
            <w:tcW w:w="1019" w:type="dxa"/>
          </w:tcPr>
          <w:p w14:paraId="12F2193E"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$125,000</w:t>
            </w:r>
          </w:p>
        </w:tc>
        <w:tc>
          <w:tcPr>
            <w:tcW w:w="266" w:type="dxa"/>
            <w:tcBorders>
              <w:top w:val="nil"/>
              <w:bottom w:val="nil"/>
            </w:tcBorders>
          </w:tcPr>
          <w:p w14:paraId="6CBF2A26" w14:textId="77777777" w:rsidR="004B2570" w:rsidRPr="00607232" w:rsidRDefault="004B2570" w:rsidP="00F47F74">
            <w:pPr>
              <w:rPr>
                <w:rFonts w:ascii="Times New Roman" w:hAnsi="Times New Roman" w:cs="Times New Roman"/>
              </w:rPr>
            </w:pPr>
          </w:p>
        </w:tc>
        <w:tc>
          <w:tcPr>
            <w:tcW w:w="1412" w:type="dxa"/>
          </w:tcPr>
          <w:p w14:paraId="7CC0F0B5"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Farm business profit</w:t>
            </w:r>
          </w:p>
        </w:tc>
        <w:tc>
          <w:tcPr>
            <w:tcW w:w="878" w:type="dxa"/>
          </w:tcPr>
          <w:p w14:paraId="10DF482B"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$63,110</w:t>
            </w:r>
          </w:p>
        </w:tc>
        <w:tc>
          <w:tcPr>
            <w:tcW w:w="1017" w:type="dxa"/>
          </w:tcPr>
          <w:p w14:paraId="60E04933"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–$10,200</w:t>
            </w:r>
          </w:p>
        </w:tc>
        <w:tc>
          <w:tcPr>
            <w:tcW w:w="1019" w:type="dxa"/>
          </w:tcPr>
          <w:p w14:paraId="1765107B"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–$48,000</w:t>
            </w:r>
          </w:p>
        </w:tc>
      </w:tr>
      <w:tr w:rsidR="00607232" w:rsidRPr="00607232" w14:paraId="70D32FE0" w14:textId="77777777" w:rsidTr="00607232">
        <w:trPr>
          <w:trHeight w:val="449"/>
        </w:trPr>
        <w:tc>
          <w:tcPr>
            <w:tcW w:w="1413" w:type="dxa"/>
            <w:tcBorders>
              <w:bottom w:val="single" w:sz="4" w:space="0" w:color="auto"/>
            </w:tcBorders>
          </w:tcPr>
          <w:p w14:paraId="02E4FA8C"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Rate of return</w:t>
            </w:r>
          </w:p>
        </w:tc>
        <w:tc>
          <w:tcPr>
            <w:tcW w:w="966" w:type="dxa"/>
            <w:tcBorders>
              <w:bottom w:val="single" w:sz="4" w:space="0" w:color="auto"/>
            </w:tcBorders>
          </w:tcPr>
          <w:p w14:paraId="256C8FEC"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0.6%</w:t>
            </w:r>
          </w:p>
        </w:tc>
        <w:tc>
          <w:tcPr>
            <w:tcW w:w="1015" w:type="dxa"/>
            <w:tcBorders>
              <w:bottom w:val="single" w:sz="4" w:space="0" w:color="auto"/>
            </w:tcBorders>
          </w:tcPr>
          <w:p w14:paraId="50DA1A04"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2.1%</w:t>
            </w:r>
          </w:p>
        </w:tc>
        <w:tc>
          <w:tcPr>
            <w:tcW w:w="1019" w:type="dxa"/>
            <w:tcBorders>
              <w:bottom w:val="single" w:sz="4" w:space="0" w:color="auto"/>
            </w:tcBorders>
          </w:tcPr>
          <w:p w14:paraId="5A24EEA8"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2.9%</w:t>
            </w:r>
          </w:p>
        </w:tc>
        <w:tc>
          <w:tcPr>
            <w:tcW w:w="266" w:type="dxa"/>
            <w:tcBorders>
              <w:top w:val="nil"/>
              <w:bottom w:val="nil"/>
            </w:tcBorders>
          </w:tcPr>
          <w:p w14:paraId="55E48FC0" w14:textId="77777777" w:rsidR="004B2570" w:rsidRPr="00607232" w:rsidRDefault="004B2570" w:rsidP="00F47F74">
            <w:pPr>
              <w:rPr>
                <w:rFonts w:ascii="Times New Roman" w:hAnsi="Times New Roman" w:cs="Times New Roman"/>
              </w:rPr>
            </w:pPr>
          </w:p>
        </w:tc>
        <w:tc>
          <w:tcPr>
            <w:tcW w:w="1412" w:type="dxa"/>
            <w:tcBorders>
              <w:bottom w:val="single" w:sz="4" w:space="0" w:color="auto"/>
            </w:tcBorders>
          </w:tcPr>
          <w:p w14:paraId="3C6BA818"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Rate of return</w:t>
            </w:r>
          </w:p>
        </w:tc>
        <w:tc>
          <w:tcPr>
            <w:tcW w:w="878" w:type="dxa"/>
            <w:tcBorders>
              <w:bottom w:val="single" w:sz="4" w:space="0" w:color="auto"/>
            </w:tcBorders>
          </w:tcPr>
          <w:p w14:paraId="091C776A"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3.2%</w:t>
            </w:r>
          </w:p>
        </w:tc>
        <w:tc>
          <w:tcPr>
            <w:tcW w:w="1017" w:type="dxa"/>
            <w:tcBorders>
              <w:bottom w:val="single" w:sz="4" w:space="0" w:color="auto"/>
            </w:tcBorders>
          </w:tcPr>
          <w:p w14:paraId="241DD70E"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1.3%</w:t>
            </w:r>
          </w:p>
        </w:tc>
        <w:tc>
          <w:tcPr>
            <w:tcW w:w="1019" w:type="dxa"/>
            <w:tcBorders>
              <w:bottom w:val="single" w:sz="4" w:space="0" w:color="auto"/>
            </w:tcBorders>
          </w:tcPr>
          <w:p w14:paraId="27CFFABF"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0.3%</w:t>
            </w:r>
          </w:p>
        </w:tc>
      </w:tr>
      <w:tr w:rsidR="00607232" w:rsidRPr="00607232" w14:paraId="4E709F42" w14:textId="77777777" w:rsidTr="00607232">
        <w:trPr>
          <w:trHeight w:val="216"/>
        </w:trPr>
        <w:tc>
          <w:tcPr>
            <w:tcW w:w="1413" w:type="dxa"/>
            <w:tcBorders>
              <w:left w:val="single" w:sz="4" w:space="0" w:color="auto"/>
              <w:right w:val="nil"/>
            </w:tcBorders>
          </w:tcPr>
          <w:p w14:paraId="70E090F2" w14:textId="77777777" w:rsidR="004B2570" w:rsidRPr="00607232" w:rsidRDefault="004B2570" w:rsidP="00F47F74">
            <w:pPr>
              <w:rPr>
                <w:rFonts w:ascii="Times New Roman" w:hAnsi="Times New Roman" w:cs="Times New Roman"/>
              </w:rPr>
            </w:pPr>
          </w:p>
        </w:tc>
        <w:tc>
          <w:tcPr>
            <w:tcW w:w="966" w:type="dxa"/>
            <w:tcBorders>
              <w:left w:val="nil"/>
              <w:right w:val="nil"/>
            </w:tcBorders>
          </w:tcPr>
          <w:p w14:paraId="72257565" w14:textId="77777777" w:rsidR="004B2570" w:rsidRPr="00607232" w:rsidRDefault="004B2570" w:rsidP="00F47F74">
            <w:pPr>
              <w:rPr>
                <w:rFonts w:ascii="Times New Roman" w:hAnsi="Times New Roman" w:cs="Times New Roman"/>
              </w:rPr>
            </w:pPr>
          </w:p>
        </w:tc>
        <w:tc>
          <w:tcPr>
            <w:tcW w:w="1015" w:type="dxa"/>
            <w:tcBorders>
              <w:left w:val="nil"/>
              <w:right w:val="nil"/>
            </w:tcBorders>
          </w:tcPr>
          <w:p w14:paraId="221589AC" w14:textId="77777777" w:rsidR="004B2570" w:rsidRPr="00607232" w:rsidRDefault="004B2570" w:rsidP="00F47F74">
            <w:pPr>
              <w:rPr>
                <w:rFonts w:ascii="Times New Roman" w:hAnsi="Times New Roman" w:cs="Times New Roman"/>
              </w:rPr>
            </w:pPr>
          </w:p>
        </w:tc>
        <w:tc>
          <w:tcPr>
            <w:tcW w:w="1019" w:type="dxa"/>
            <w:tcBorders>
              <w:left w:val="nil"/>
              <w:right w:val="nil"/>
            </w:tcBorders>
          </w:tcPr>
          <w:p w14:paraId="2F4F4734" w14:textId="77777777" w:rsidR="004B2570" w:rsidRPr="00607232" w:rsidRDefault="004B2570" w:rsidP="00F47F74">
            <w:pPr>
              <w:rPr>
                <w:rFonts w:ascii="Times New Roman" w:hAnsi="Times New Roman" w:cs="Times New Roman"/>
              </w:rPr>
            </w:pPr>
          </w:p>
        </w:tc>
        <w:tc>
          <w:tcPr>
            <w:tcW w:w="266" w:type="dxa"/>
            <w:tcBorders>
              <w:top w:val="nil"/>
              <w:left w:val="nil"/>
              <w:bottom w:val="nil"/>
              <w:right w:val="nil"/>
            </w:tcBorders>
          </w:tcPr>
          <w:p w14:paraId="0F6B66D1" w14:textId="77777777" w:rsidR="004B2570" w:rsidRPr="00607232" w:rsidRDefault="004B2570" w:rsidP="00F47F74">
            <w:pPr>
              <w:rPr>
                <w:rFonts w:ascii="Times New Roman" w:hAnsi="Times New Roman" w:cs="Times New Roman"/>
              </w:rPr>
            </w:pPr>
          </w:p>
        </w:tc>
        <w:tc>
          <w:tcPr>
            <w:tcW w:w="1412" w:type="dxa"/>
            <w:tcBorders>
              <w:left w:val="nil"/>
              <w:right w:val="nil"/>
            </w:tcBorders>
          </w:tcPr>
          <w:p w14:paraId="265419FF" w14:textId="77777777" w:rsidR="004B2570" w:rsidRPr="00607232" w:rsidRDefault="004B2570" w:rsidP="00F47F74">
            <w:pPr>
              <w:rPr>
                <w:rFonts w:ascii="Times New Roman" w:hAnsi="Times New Roman" w:cs="Times New Roman"/>
              </w:rPr>
            </w:pPr>
          </w:p>
        </w:tc>
        <w:tc>
          <w:tcPr>
            <w:tcW w:w="878" w:type="dxa"/>
            <w:tcBorders>
              <w:left w:val="nil"/>
              <w:right w:val="nil"/>
            </w:tcBorders>
          </w:tcPr>
          <w:p w14:paraId="03761CB7" w14:textId="77777777" w:rsidR="004B2570" w:rsidRPr="00607232" w:rsidRDefault="004B2570" w:rsidP="00F47F74">
            <w:pPr>
              <w:rPr>
                <w:rFonts w:ascii="Times New Roman" w:hAnsi="Times New Roman" w:cs="Times New Roman"/>
              </w:rPr>
            </w:pPr>
          </w:p>
        </w:tc>
        <w:tc>
          <w:tcPr>
            <w:tcW w:w="1017" w:type="dxa"/>
            <w:tcBorders>
              <w:left w:val="nil"/>
              <w:right w:val="nil"/>
            </w:tcBorders>
          </w:tcPr>
          <w:p w14:paraId="65383A1F" w14:textId="77777777" w:rsidR="004B2570" w:rsidRPr="00607232" w:rsidRDefault="004B2570" w:rsidP="00F47F74">
            <w:pPr>
              <w:rPr>
                <w:rFonts w:ascii="Times New Roman" w:hAnsi="Times New Roman" w:cs="Times New Roman"/>
              </w:rPr>
            </w:pPr>
          </w:p>
        </w:tc>
        <w:tc>
          <w:tcPr>
            <w:tcW w:w="1019" w:type="dxa"/>
            <w:tcBorders>
              <w:left w:val="nil"/>
              <w:right w:val="single" w:sz="4" w:space="0" w:color="auto"/>
            </w:tcBorders>
          </w:tcPr>
          <w:p w14:paraId="391AA675" w14:textId="77777777" w:rsidR="004B2570" w:rsidRPr="00607232" w:rsidRDefault="004B2570" w:rsidP="00F47F74">
            <w:pPr>
              <w:rPr>
                <w:rFonts w:ascii="Times New Roman" w:hAnsi="Times New Roman" w:cs="Times New Roman"/>
              </w:rPr>
            </w:pPr>
          </w:p>
        </w:tc>
      </w:tr>
      <w:tr w:rsidR="00607232" w:rsidRPr="00607232" w14:paraId="035B7D7F" w14:textId="77777777" w:rsidTr="00607232">
        <w:trPr>
          <w:trHeight w:val="309"/>
        </w:trPr>
        <w:tc>
          <w:tcPr>
            <w:tcW w:w="1413" w:type="dxa"/>
            <w:vMerge w:val="restart"/>
          </w:tcPr>
          <w:p w14:paraId="519A8F20" w14:textId="77777777" w:rsidR="004B2570" w:rsidRPr="00607232" w:rsidRDefault="004B2570" w:rsidP="00F47F74">
            <w:pPr>
              <w:rPr>
                <w:rFonts w:ascii="Times New Roman" w:hAnsi="Times New Roman" w:cs="Times New Roman"/>
              </w:rPr>
            </w:pPr>
          </w:p>
        </w:tc>
        <w:tc>
          <w:tcPr>
            <w:tcW w:w="3000" w:type="dxa"/>
            <w:gridSpan w:val="3"/>
          </w:tcPr>
          <w:p w14:paraId="3171AAE6" w14:textId="77777777" w:rsidR="004B2570" w:rsidRPr="00607232" w:rsidRDefault="004B2570" w:rsidP="00F47F74">
            <w:pPr>
              <w:jc w:val="center"/>
              <w:rPr>
                <w:rFonts w:ascii="Times New Roman" w:hAnsi="Times New Roman" w:cs="Times New Roman"/>
                <w:b/>
                <w:bCs/>
              </w:rPr>
            </w:pPr>
            <w:r w:rsidRPr="00607232">
              <w:rPr>
                <w:rFonts w:ascii="Times New Roman" w:hAnsi="Times New Roman" w:cs="Times New Roman"/>
                <w:b/>
                <w:bCs/>
              </w:rPr>
              <w:t>Grain farms</w:t>
            </w:r>
          </w:p>
        </w:tc>
        <w:tc>
          <w:tcPr>
            <w:tcW w:w="266" w:type="dxa"/>
            <w:tcBorders>
              <w:top w:val="nil"/>
              <w:bottom w:val="nil"/>
            </w:tcBorders>
          </w:tcPr>
          <w:p w14:paraId="70B5FF16" w14:textId="77777777" w:rsidR="004B2570" w:rsidRPr="00607232" w:rsidRDefault="004B2570" w:rsidP="00F47F74">
            <w:pPr>
              <w:rPr>
                <w:rFonts w:ascii="Times New Roman" w:hAnsi="Times New Roman" w:cs="Times New Roman"/>
              </w:rPr>
            </w:pPr>
          </w:p>
        </w:tc>
        <w:tc>
          <w:tcPr>
            <w:tcW w:w="1412" w:type="dxa"/>
            <w:vMerge w:val="restart"/>
          </w:tcPr>
          <w:p w14:paraId="1107DE6A" w14:textId="77777777" w:rsidR="004B2570" w:rsidRPr="00607232" w:rsidRDefault="004B2570" w:rsidP="00F47F74">
            <w:pPr>
              <w:rPr>
                <w:rFonts w:ascii="Times New Roman" w:hAnsi="Times New Roman" w:cs="Times New Roman"/>
              </w:rPr>
            </w:pPr>
          </w:p>
        </w:tc>
        <w:tc>
          <w:tcPr>
            <w:tcW w:w="2914" w:type="dxa"/>
            <w:gridSpan w:val="3"/>
          </w:tcPr>
          <w:p w14:paraId="75EC3FE0" w14:textId="77777777" w:rsidR="004B2570" w:rsidRPr="00607232" w:rsidRDefault="004B2570" w:rsidP="00F47F74">
            <w:pPr>
              <w:jc w:val="center"/>
              <w:rPr>
                <w:rFonts w:ascii="Times New Roman" w:hAnsi="Times New Roman" w:cs="Times New Roman"/>
                <w:b/>
                <w:bCs/>
              </w:rPr>
            </w:pPr>
            <w:r w:rsidRPr="00607232">
              <w:rPr>
                <w:rFonts w:ascii="Times New Roman" w:hAnsi="Times New Roman" w:cs="Times New Roman"/>
                <w:b/>
                <w:bCs/>
              </w:rPr>
              <w:t>Lamb farms</w:t>
            </w:r>
          </w:p>
        </w:tc>
      </w:tr>
      <w:tr w:rsidR="00607232" w:rsidRPr="00607232" w14:paraId="05C8BE79" w14:textId="77777777" w:rsidTr="00607232">
        <w:trPr>
          <w:trHeight w:val="232"/>
        </w:trPr>
        <w:tc>
          <w:tcPr>
            <w:tcW w:w="1413" w:type="dxa"/>
            <w:vMerge/>
          </w:tcPr>
          <w:p w14:paraId="67EA3432" w14:textId="77777777" w:rsidR="004B2570" w:rsidRPr="00607232" w:rsidRDefault="004B2570" w:rsidP="00F47F74">
            <w:pPr>
              <w:rPr>
                <w:rFonts w:ascii="Times New Roman" w:hAnsi="Times New Roman" w:cs="Times New Roman"/>
              </w:rPr>
            </w:pPr>
          </w:p>
        </w:tc>
        <w:tc>
          <w:tcPr>
            <w:tcW w:w="966" w:type="dxa"/>
          </w:tcPr>
          <w:p w14:paraId="1EE151CF"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i/>
                <w:iCs/>
              </w:rPr>
              <w:t>2014–15</w:t>
            </w:r>
          </w:p>
        </w:tc>
        <w:tc>
          <w:tcPr>
            <w:tcW w:w="1015" w:type="dxa"/>
          </w:tcPr>
          <w:p w14:paraId="450C3E67"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i/>
                <w:iCs/>
              </w:rPr>
              <w:t>2015–16</w:t>
            </w:r>
          </w:p>
        </w:tc>
        <w:tc>
          <w:tcPr>
            <w:tcW w:w="1019" w:type="dxa"/>
          </w:tcPr>
          <w:p w14:paraId="01C2C4D9"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i/>
                <w:iCs/>
              </w:rPr>
              <w:t>2016–17</w:t>
            </w:r>
          </w:p>
        </w:tc>
        <w:tc>
          <w:tcPr>
            <w:tcW w:w="266" w:type="dxa"/>
            <w:tcBorders>
              <w:top w:val="nil"/>
              <w:bottom w:val="nil"/>
            </w:tcBorders>
          </w:tcPr>
          <w:p w14:paraId="28065AA0" w14:textId="77777777" w:rsidR="004B2570" w:rsidRPr="00607232" w:rsidRDefault="004B2570" w:rsidP="00F47F74">
            <w:pPr>
              <w:rPr>
                <w:rFonts w:ascii="Times New Roman" w:hAnsi="Times New Roman" w:cs="Times New Roman"/>
              </w:rPr>
            </w:pPr>
          </w:p>
        </w:tc>
        <w:tc>
          <w:tcPr>
            <w:tcW w:w="1412" w:type="dxa"/>
            <w:vMerge/>
          </w:tcPr>
          <w:p w14:paraId="16CF82E6" w14:textId="77777777" w:rsidR="004B2570" w:rsidRPr="00607232" w:rsidRDefault="004B2570" w:rsidP="00F47F74">
            <w:pPr>
              <w:rPr>
                <w:rFonts w:ascii="Times New Roman" w:hAnsi="Times New Roman" w:cs="Times New Roman"/>
              </w:rPr>
            </w:pPr>
          </w:p>
        </w:tc>
        <w:tc>
          <w:tcPr>
            <w:tcW w:w="878" w:type="dxa"/>
          </w:tcPr>
          <w:p w14:paraId="31DD62B5"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i/>
                <w:iCs/>
              </w:rPr>
              <w:t>2014–15</w:t>
            </w:r>
          </w:p>
        </w:tc>
        <w:tc>
          <w:tcPr>
            <w:tcW w:w="1017" w:type="dxa"/>
          </w:tcPr>
          <w:p w14:paraId="15209997"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i/>
                <w:iCs/>
              </w:rPr>
              <w:t>2015–16</w:t>
            </w:r>
          </w:p>
        </w:tc>
        <w:tc>
          <w:tcPr>
            <w:tcW w:w="1019" w:type="dxa"/>
          </w:tcPr>
          <w:p w14:paraId="1EB0F58C"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i/>
                <w:iCs/>
              </w:rPr>
              <w:t>2016–17</w:t>
            </w:r>
          </w:p>
        </w:tc>
      </w:tr>
      <w:tr w:rsidR="00607232" w:rsidRPr="00607232" w14:paraId="2F1A6B84" w14:textId="77777777" w:rsidTr="00607232">
        <w:trPr>
          <w:trHeight w:val="449"/>
        </w:trPr>
        <w:tc>
          <w:tcPr>
            <w:tcW w:w="1413" w:type="dxa"/>
          </w:tcPr>
          <w:p w14:paraId="013FEDCB"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Cash receipts</w:t>
            </w:r>
          </w:p>
        </w:tc>
        <w:tc>
          <w:tcPr>
            <w:tcW w:w="966" w:type="dxa"/>
          </w:tcPr>
          <w:p w14:paraId="0C924351"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$770,670</w:t>
            </w:r>
          </w:p>
        </w:tc>
        <w:tc>
          <w:tcPr>
            <w:tcW w:w="1015" w:type="dxa"/>
          </w:tcPr>
          <w:p w14:paraId="622D213D"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$758,700</w:t>
            </w:r>
          </w:p>
        </w:tc>
        <w:tc>
          <w:tcPr>
            <w:tcW w:w="1019" w:type="dxa"/>
          </w:tcPr>
          <w:p w14:paraId="786109F2"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$851,000</w:t>
            </w:r>
          </w:p>
        </w:tc>
        <w:tc>
          <w:tcPr>
            <w:tcW w:w="266" w:type="dxa"/>
            <w:tcBorders>
              <w:top w:val="nil"/>
              <w:bottom w:val="nil"/>
            </w:tcBorders>
          </w:tcPr>
          <w:p w14:paraId="3DC776E9" w14:textId="77777777" w:rsidR="004B2570" w:rsidRPr="00607232" w:rsidRDefault="004B2570" w:rsidP="00F47F74">
            <w:pPr>
              <w:rPr>
                <w:rFonts w:ascii="Times New Roman" w:hAnsi="Times New Roman" w:cs="Times New Roman"/>
              </w:rPr>
            </w:pPr>
          </w:p>
        </w:tc>
        <w:tc>
          <w:tcPr>
            <w:tcW w:w="1412" w:type="dxa"/>
          </w:tcPr>
          <w:p w14:paraId="28299500"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Cash receipts</w:t>
            </w:r>
          </w:p>
        </w:tc>
        <w:tc>
          <w:tcPr>
            <w:tcW w:w="878" w:type="dxa"/>
          </w:tcPr>
          <w:p w14:paraId="5E45D7FF"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$648,780</w:t>
            </w:r>
          </w:p>
        </w:tc>
        <w:tc>
          <w:tcPr>
            <w:tcW w:w="1017" w:type="dxa"/>
          </w:tcPr>
          <w:p w14:paraId="387C37EA"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$667,000</w:t>
            </w:r>
          </w:p>
        </w:tc>
        <w:tc>
          <w:tcPr>
            <w:tcW w:w="1019" w:type="dxa"/>
          </w:tcPr>
          <w:p w14:paraId="1079E387"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$724,550</w:t>
            </w:r>
          </w:p>
        </w:tc>
      </w:tr>
      <w:tr w:rsidR="00607232" w:rsidRPr="00607232" w14:paraId="56D7FDE1" w14:textId="77777777" w:rsidTr="00607232">
        <w:trPr>
          <w:trHeight w:val="337"/>
        </w:trPr>
        <w:tc>
          <w:tcPr>
            <w:tcW w:w="1413" w:type="dxa"/>
          </w:tcPr>
          <w:p w14:paraId="239B66A5"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Cash costs</w:t>
            </w:r>
          </w:p>
        </w:tc>
        <w:tc>
          <w:tcPr>
            <w:tcW w:w="966" w:type="dxa"/>
          </w:tcPr>
          <w:p w14:paraId="1BBD8A8E"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$532,770</w:t>
            </w:r>
          </w:p>
        </w:tc>
        <w:tc>
          <w:tcPr>
            <w:tcW w:w="1015" w:type="dxa"/>
          </w:tcPr>
          <w:p w14:paraId="51792F6B"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$531,000</w:t>
            </w:r>
          </w:p>
        </w:tc>
        <w:tc>
          <w:tcPr>
            <w:tcW w:w="1019" w:type="dxa"/>
          </w:tcPr>
          <w:p w14:paraId="311D00CD"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$561,000</w:t>
            </w:r>
          </w:p>
        </w:tc>
        <w:tc>
          <w:tcPr>
            <w:tcW w:w="266" w:type="dxa"/>
            <w:tcBorders>
              <w:top w:val="nil"/>
              <w:bottom w:val="nil"/>
            </w:tcBorders>
          </w:tcPr>
          <w:p w14:paraId="40B485A6" w14:textId="77777777" w:rsidR="004B2570" w:rsidRPr="00607232" w:rsidRDefault="004B2570" w:rsidP="00F47F74">
            <w:pPr>
              <w:rPr>
                <w:rFonts w:ascii="Times New Roman" w:hAnsi="Times New Roman" w:cs="Times New Roman"/>
              </w:rPr>
            </w:pPr>
          </w:p>
        </w:tc>
        <w:tc>
          <w:tcPr>
            <w:tcW w:w="1412" w:type="dxa"/>
          </w:tcPr>
          <w:p w14:paraId="68780E97"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Cash costs</w:t>
            </w:r>
          </w:p>
        </w:tc>
        <w:tc>
          <w:tcPr>
            <w:tcW w:w="878" w:type="dxa"/>
          </w:tcPr>
          <w:p w14:paraId="60D4962A"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$433,330</w:t>
            </w:r>
          </w:p>
        </w:tc>
        <w:tc>
          <w:tcPr>
            <w:tcW w:w="1017" w:type="dxa"/>
          </w:tcPr>
          <w:p w14:paraId="5691A4E5"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$455,000</w:t>
            </w:r>
          </w:p>
        </w:tc>
        <w:tc>
          <w:tcPr>
            <w:tcW w:w="1019" w:type="dxa"/>
          </w:tcPr>
          <w:p w14:paraId="2C6FC4A7"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$459,550</w:t>
            </w:r>
          </w:p>
        </w:tc>
      </w:tr>
      <w:tr w:rsidR="00607232" w:rsidRPr="00607232" w14:paraId="3BBE5D36" w14:textId="77777777" w:rsidTr="00607232">
        <w:trPr>
          <w:trHeight w:val="449"/>
        </w:trPr>
        <w:tc>
          <w:tcPr>
            <w:tcW w:w="1413" w:type="dxa"/>
          </w:tcPr>
          <w:p w14:paraId="373377F5"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Farm cash income</w:t>
            </w:r>
          </w:p>
        </w:tc>
        <w:tc>
          <w:tcPr>
            <w:tcW w:w="966" w:type="dxa"/>
          </w:tcPr>
          <w:p w14:paraId="4C8DB5F7"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$237,900</w:t>
            </w:r>
          </w:p>
        </w:tc>
        <w:tc>
          <w:tcPr>
            <w:tcW w:w="1015" w:type="dxa"/>
          </w:tcPr>
          <w:p w14:paraId="738A94E7"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$227,700</w:t>
            </w:r>
          </w:p>
        </w:tc>
        <w:tc>
          <w:tcPr>
            <w:tcW w:w="1019" w:type="dxa"/>
          </w:tcPr>
          <w:p w14:paraId="267F4965"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$290,000</w:t>
            </w:r>
          </w:p>
        </w:tc>
        <w:tc>
          <w:tcPr>
            <w:tcW w:w="266" w:type="dxa"/>
            <w:tcBorders>
              <w:top w:val="nil"/>
              <w:bottom w:val="nil"/>
            </w:tcBorders>
          </w:tcPr>
          <w:p w14:paraId="7C2F7BAF" w14:textId="77777777" w:rsidR="004B2570" w:rsidRPr="00607232" w:rsidRDefault="004B2570" w:rsidP="00F47F74">
            <w:pPr>
              <w:rPr>
                <w:rFonts w:ascii="Times New Roman" w:hAnsi="Times New Roman" w:cs="Times New Roman"/>
              </w:rPr>
            </w:pPr>
          </w:p>
        </w:tc>
        <w:tc>
          <w:tcPr>
            <w:tcW w:w="1412" w:type="dxa"/>
          </w:tcPr>
          <w:p w14:paraId="44A8DA2A"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Farm cash income</w:t>
            </w:r>
          </w:p>
        </w:tc>
        <w:tc>
          <w:tcPr>
            <w:tcW w:w="878" w:type="dxa"/>
          </w:tcPr>
          <w:p w14:paraId="1CC66530"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$215,450</w:t>
            </w:r>
          </w:p>
        </w:tc>
        <w:tc>
          <w:tcPr>
            <w:tcW w:w="1017" w:type="dxa"/>
          </w:tcPr>
          <w:p w14:paraId="02249372"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$212,000</w:t>
            </w:r>
          </w:p>
        </w:tc>
        <w:tc>
          <w:tcPr>
            <w:tcW w:w="1019" w:type="dxa"/>
          </w:tcPr>
          <w:p w14:paraId="503927F2"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$265,000</w:t>
            </w:r>
          </w:p>
        </w:tc>
      </w:tr>
      <w:tr w:rsidR="00607232" w:rsidRPr="00607232" w14:paraId="3D14B888" w14:textId="77777777" w:rsidTr="00607232">
        <w:trPr>
          <w:trHeight w:val="629"/>
        </w:trPr>
        <w:tc>
          <w:tcPr>
            <w:tcW w:w="1413" w:type="dxa"/>
          </w:tcPr>
          <w:p w14:paraId="110AB97C"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Farm business profit</w:t>
            </w:r>
          </w:p>
        </w:tc>
        <w:tc>
          <w:tcPr>
            <w:tcW w:w="966" w:type="dxa"/>
          </w:tcPr>
          <w:p w14:paraId="637A8DDB"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$78,570</w:t>
            </w:r>
          </w:p>
        </w:tc>
        <w:tc>
          <w:tcPr>
            <w:tcW w:w="1015" w:type="dxa"/>
          </w:tcPr>
          <w:p w14:paraId="6FA0F328"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$105,600</w:t>
            </w:r>
          </w:p>
        </w:tc>
        <w:tc>
          <w:tcPr>
            <w:tcW w:w="1019" w:type="dxa"/>
          </w:tcPr>
          <w:p w14:paraId="0C9D3541"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$139,000</w:t>
            </w:r>
          </w:p>
        </w:tc>
        <w:tc>
          <w:tcPr>
            <w:tcW w:w="266" w:type="dxa"/>
            <w:tcBorders>
              <w:top w:val="nil"/>
              <w:bottom w:val="nil"/>
            </w:tcBorders>
          </w:tcPr>
          <w:p w14:paraId="0610AB80" w14:textId="77777777" w:rsidR="004B2570" w:rsidRPr="00607232" w:rsidRDefault="004B2570" w:rsidP="00F47F74">
            <w:pPr>
              <w:rPr>
                <w:rFonts w:ascii="Times New Roman" w:hAnsi="Times New Roman" w:cs="Times New Roman"/>
              </w:rPr>
            </w:pPr>
          </w:p>
        </w:tc>
        <w:tc>
          <w:tcPr>
            <w:tcW w:w="1412" w:type="dxa"/>
          </w:tcPr>
          <w:p w14:paraId="488FF968"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Farm business profit</w:t>
            </w:r>
          </w:p>
        </w:tc>
        <w:tc>
          <w:tcPr>
            <w:tcW w:w="878" w:type="dxa"/>
          </w:tcPr>
          <w:p w14:paraId="565FF58E"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$66,200</w:t>
            </w:r>
          </w:p>
        </w:tc>
        <w:tc>
          <w:tcPr>
            <w:tcW w:w="1017" w:type="dxa"/>
          </w:tcPr>
          <w:p w14:paraId="3A5C1C35"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$88,600</w:t>
            </w:r>
          </w:p>
        </w:tc>
        <w:tc>
          <w:tcPr>
            <w:tcW w:w="1019" w:type="dxa"/>
          </w:tcPr>
          <w:p w14:paraId="7AB2EC00"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$141,000</w:t>
            </w:r>
          </w:p>
        </w:tc>
      </w:tr>
      <w:tr w:rsidR="00607232" w:rsidRPr="00607232" w14:paraId="48EE782C" w14:textId="77777777" w:rsidTr="00607232">
        <w:trPr>
          <w:trHeight w:val="449"/>
        </w:trPr>
        <w:tc>
          <w:tcPr>
            <w:tcW w:w="1413" w:type="dxa"/>
          </w:tcPr>
          <w:p w14:paraId="5EF80F0C"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Rate of return</w:t>
            </w:r>
          </w:p>
        </w:tc>
        <w:tc>
          <w:tcPr>
            <w:tcW w:w="966" w:type="dxa"/>
          </w:tcPr>
          <w:p w14:paraId="6D6630CC"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2.8%</w:t>
            </w:r>
          </w:p>
        </w:tc>
        <w:tc>
          <w:tcPr>
            <w:tcW w:w="1015" w:type="dxa"/>
          </w:tcPr>
          <w:p w14:paraId="046B0277"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3.2%</w:t>
            </w:r>
          </w:p>
        </w:tc>
        <w:tc>
          <w:tcPr>
            <w:tcW w:w="1019" w:type="dxa"/>
          </w:tcPr>
          <w:p w14:paraId="184A488E"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3.6%</w:t>
            </w:r>
          </w:p>
        </w:tc>
        <w:tc>
          <w:tcPr>
            <w:tcW w:w="266" w:type="dxa"/>
            <w:tcBorders>
              <w:top w:val="nil"/>
              <w:bottom w:val="single" w:sz="4" w:space="0" w:color="auto"/>
            </w:tcBorders>
          </w:tcPr>
          <w:p w14:paraId="74CE2156" w14:textId="77777777" w:rsidR="004B2570" w:rsidRPr="00607232" w:rsidRDefault="004B2570" w:rsidP="00F47F74">
            <w:pPr>
              <w:rPr>
                <w:rFonts w:ascii="Times New Roman" w:hAnsi="Times New Roman" w:cs="Times New Roman"/>
              </w:rPr>
            </w:pPr>
          </w:p>
        </w:tc>
        <w:tc>
          <w:tcPr>
            <w:tcW w:w="1412" w:type="dxa"/>
          </w:tcPr>
          <w:p w14:paraId="22E1D176" w14:textId="77777777" w:rsidR="004B2570" w:rsidRPr="00607232" w:rsidRDefault="004B2570" w:rsidP="00F47F74">
            <w:pPr>
              <w:rPr>
                <w:rFonts w:ascii="Times New Roman" w:hAnsi="Times New Roman" w:cs="Times New Roman"/>
              </w:rPr>
            </w:pPr>
            <w:r w:rsidRPr="00607232">
              <w:rPr>
                <w:rFonts w:ascii="Times New Roman" w:hAnsi="Times New Roman" w:cs="Times New Roman"/>
              </w:rPr>
              <w:t>Rate of return</w:t>
            </w:r>
          </w:p>
        </w:tc>
        <w:tc>
          <w:tcPr>
            <w:tcW w:w="878" w:type="dxa"/>
          </w:tcPr>
          <w:p w14:paraId="4C2D6107"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2.5%</w:t>
            </w:r>
          </w:p>
        </w:tc>
        <w:tc>
          <w:tcPr>
            <w:tcW w:w="1017" w:type="dxa"/>
          </w:tcPr>
          <w:p w14:paraId="03F01620"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2.8%</w:t>
            </w:r>
          </w:p>
        </w:tc>
        <w:tc>
          <w:tcPr>
            <w:tcW w:w="1019" w:type="dxa"/>
          </w:tcPr>
          <w:p w14:paraId="2C8D6F2A" w14:textId="77777777" w:rsidR="004B2570" w:rsidRPr="00607232" w:rsidRDefault="004B2570" w:rsidP="00F47F74">
            <w:pPr>
              <w:jc w:val="center"/>
              <w:rPr>
                <w:rFonts w:ascii="Times New Roman" w:hAnsi="Times New Roman" w:cs="Times New Roman"/>
              </w:rPr>
            </w:pPr>
            <w:r w:rsidRPr="00607232">
              <w:rPr>
                <w:rFonts w:ascii="Times New Roman" w:hAnsi="Times New Roman" w:cs="Times New Roman"/>
              </w:rPr>
              <w:t>3.7%</w:t>
            </w:r>
          </w:p>
        </w:tc>
      </w:tr>
    </w:tbl>
    <w:p w14:paraId="7F85089F" w14:textId="77777777" w:rsidR="004B2570" w:rsidRPr="00607232" w:rsidRDefault="004B2570" w:rsidP="004B2570">
      <w:pPr>
        <w:rPr>
          <w:rFonts w:ascii="Times New Roman" w:hAnsi="Times New Roman" w:cs="Times New Roman"/>
        </w:rPr>
      </w:pPr>
    </w:p>
    <w:p w14:paraId="66EBB12B" w14:textId="77777777" w:rsidR="00607232" w:rsidRDefault="00607232" w:rsidP="004B2570">
      <w:pPr>
        <w:rPr>
          <w:rFonts w:ascii="Times New Roman" w:hAnsi="Times New Roman" w:cs="Times New Roman"/>
          <w:b/>
          <w:bCs/>
        </w:rPr>
      </w:pPr>
    </w:p>
    <w:p w14:paraId="2DA8B765" w14:textId="1355B9CD" w:rsidR="004B2570" w:rsidRPr="00607232" w:rsidRDefault="004B2570" w:rsidP="00371A1B">
      <w:pPr>
        <w:ind w:left="1134" w:hanging="567"/>
        <w:rPr>
          <w:rFonts w:ascii="Times New Roman" w:hAnsi="Times New Roman" w:cs="Times New Roman"/>
        </w:rPr>
      </w:pPr>
      <w:r w:rsidRPr="00607232">
        <w:rPr>
          <w:rFonts w:ascii="Times New Roman" w:hAnsi="Times New Roman" w:cs="Times New Roman"/>
          <w:b/>
          <w:bCs/>
        </w:rPr>
        <w:t>Note:</w:t>
      </w:r>
      <w:r w:rsidRPr="00607232">
        <w:rPr>
          <w:rFonts w:ascii="Times New Roman" w:hAnsi="Times New Roman" w:cs="Times New Roman"/>
        </w:rPr>
        <w:t xml:space="preserve"> </w:t>
      </w:r>
      <w:r w:rsidR="00371A1B">
        <w:rPr>
          <w:rFonts w:ascii="Times New Roman" w:hAnsi="Times New Roman" w:cs="Times New Roman"/>
        </w:rPr>
        <w:t xml:space="preserve"> </w:t>
      </w:r>
      <w:r w:rsidRPr="00607232">
        <w:rPr>
          <w:rFonts w:ascii="Times New Roman" w:hAnsi="Times New Roman" w:cs="Times New Roman"/>
        </w:rPr>
        <w:t>Grain farms must grow a minimum of 40 hectares of wheat, oilseed, pulses or other grain crops to be included in the data. Milk is harvested from dairy cows for 3 to 5 years before the rate of milk production drops off significantly. Beef and lamb farms across Australia engaged in flock rebuilding, with reduced beef and lamb sales in 2016–17. Although sales were reduced, higher cattle and lamb prices resulted in record cash receipts.</w:t>
      </w:r>
    </w:p>
    <w:p w14:paraId="6B48D7CA" w14:textId="4DED1070" w:rsidR="003103AD" w:rsidRPr="00607232" w:rsidRDefault="003103AD">
      <w:pPr>
        <w:ind w:firstLine="397"/>
        <w:rPr>
          <w:rFonts w:ascii="Times New Roman" w:hAnsi="Times New Roman" w:cs="Times New Roman"/>
        </w:rPr>
      </w:pPr>
    </w:p>
    <w:sectPr w:rsidR="003103AD" w:rsidRPr="00607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F6"/>
    <w:rsid w:val="00015158"/>
    <w:rsid w:val="0011710D"/>
    <w:rsid w:val="00243F81"/>
    <w:rsid w:val="002A6211"/>
    <w:rsid w:val="002C528B"/>
    <w:rsid w:val="003103AD"/>
    <w:rsid w:val="003478D8"/>
    <w:rsid w:val="00371A1B"/>
    <w:rsid w:val="004B2570"/>
    <w:rsid w:val="0060642C"/>
    <w:rsid w:val="00607232"/>
    <w:rsid w:val="00694941"/>
    <w:rsid w:val="008448F6"/>
    <w:rsid w:val="0093229F"/>
    <w:rsid w:val="009E74E1"/>
    <w:rsid w:val="00A226C7"/>
    <w:rsid w:val="00A81773"/>
    <w:rsid w:val="00B424A3"/>
    <w:rsid w:val="00E1586D"/>
    <w:rsid w:val="00E65B4B"/>
    <w:rsid w:val="00E72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9CB9"/>
  <w15:chartTrackingRefBased/>
  <w15:docId w15:val="{C1228D9B-F608-664A-9F0A-45B50A29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8F6"/>
    <w:rPr>
      <w:rFonts w:ascii="Arial" w:hAnsi="Arial" w:cs="Times New Roman (Body 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8F6"/>
    <w:pPr>
      <w:spacing w:before="100" w:beforeAutospacing="1" w:after="100" w:afterAutospacing="1"/>
    </w:pPr>
    <w:rPr>
      <w:rFonts w:ascii="Times New Roman" w:eastAsia="Times New Roman" w:hAnsi="Times New Roman" w:cs="Times New Roman"/>
      <w:sz w:val="24"/>
      <w:lang w:val="en-US" w:eastAsia="en-GB"/>
    </w:rPr>
  </w:style>
  <w:style w:type="character" w:styleId="CommentReference">
    <w:name w:val="annotation reference"/>
    <w:basedOn w:val="DefaultParagraphFont"/>
    <w:uiPriority w:val="99"/>
    <w:semiHidden/>
    <w:unhideWhenUsed/>
    <w:rsid w:val="008448F6"/>
    <w:rPr>
      <w:sz w:val="16"/>
      <w:szCs w:val="16"/>
    </w:rPr>
  </w:style>
  <w:style w:type="paragraph" w:styleId="CommentText">
    <w:name w:val="annotation text"/>
    <w:basedOn w:val="Normal"/>
    <w:link w:val="CommentTextChar"/>
    <w:uiPriority w:val="99"/>
    <w:semiHidden/>
    <w:unhideWhenUsed/>
    <w:rsid w:val="008448F6"/>
    <w:rPr>
      <w:szCs w:val="20"/>
    </w:rPr>
  </w:style>
  <w:style w:type="character" w:customStyle="1" w:styleId="CommentTextChar">
    <w:name w:val="Comment Text Char"/>
    <w:basedOn w:val="DefaultParagraphFont"/>
    <w:link w:val="CommentText"/>
    <w:uiPriority w:val="99"/>
    <w:semiHidden/>
    <w:rsid w:val="008448F6"/>
    <w:rPr>
      <w:rFonts w:ascii="Arial" w:hAnsi="Arial" w:cs="Times New Roman (Body CS)"/>
      <w:sz w:val="20"/>
      <w:szCs w:val="20"/>
    </w:rPr>
  </w:style>
  <w:style w:type="character" w:styleId="LineNumber">
    <w:name w:val="line number"/>
    <w:basedOn w:val="DefaultParagraphFont"/>
    <w:uiPriority w:val="99"/>
    <w:semiHidden/>
    <w:unhideWhenUsed/>
    <w:rsid w:val="003103AD"/>
  </w:style>
  <w:style w:type="table" w:styleId="TableGrid">
    <w:name w:val="Table Grid"/>
    <w:basedOn w:val="TableNormal"/>
    <w:uiPriority w:val="39"/>
    <w:rsid w:val="004B2570"/>
    <w:rPr>
      <w:rFonts w:ascii="Arial" w:hAnsi="Arial" w:cs="Times New Roman (Body CS)"/>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1A9DB-EFA1-B348-B4AE-1D28CAFD8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Zizza</dc:creator>
  <cp:keywords/>
  <dc:description/>
  <cp:lastModifiedBy>Bobby Zizza</cp:lastModifiedBy>
  <cp:revision>3</cp:revision>
  <dcterms:created xsi:type="dcterms:W3CDTF">2022-03-29T15:29:00Z</dcterms:created>
  <dcterms:modified xsi:type="dcterms:W3CDTF">2022-03-29T15:41:00Z</dcterms:modified>
</cp:coreProperties>
</file>