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FFE9" w14:textId="6F1423A2" w:rsidR="00B64F4B" w:rsidRPr="00B64F4B" w:rsidRDefault="00B64F4B" w:rsidP="00B64F4B">
      <w:pPr>
        <w:rPr>
          <w:rFonts w:ascii="Times New Roman" w:hAnsi="Times New Roman" w:cs="Times New Roman"/>
          <w:i/>
          <w:iCs/>
        </w:rPr>
      </w:pPr>
      <w:r w:rsidRPr="00B64F4B">
        <w:rPr>
          <w:rFonts w:ascii="Times New Roman" w:hAnsi="Times New Roman" w:cs="Times New Roman"/>
          <w:i/>
          <w:iCs/>
        </w:rPr>
        <w:t>The following diagram presents assessments of four countries for:</w:t>
      </w:r>
    </w:p>
    <w:p w14:paraId="72A7FEE0" w14:textId="77777777" w:rsidR="00B64F4B" w:rsidRPr="00B64F4B" w:rsidRDefault="00B64F4B" w:rsidP="00B64F4B">
      <w:pPr>
        <w:rPr>
          <w:rFonts w:ascii="Times New Roman" w:hAnsi="Times New Roman" w:cs="Times New Roman"/>
          <w:i/>
          <w:iCs/>
        </w:rPr>
      </w:pPr>
    </w:p>
    <w:p w14:paraId="32A73672"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standard of living (a)</w:t>
      </w:r>
    </w:p>
    <w:p w14:paraId="53E0765D"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military power (b)</w:t>
      </w:r>
    </w:p>
    <w:p w14:paraId="6529AE2E"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press freedom (c)</w:t>
      </w:r>
    </w:p>
    <w:p w14:paraId="0B0BFB86"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diversity of political parties (d)</w:t>
      </w:r>
    </w:p>
    <w:p w14:paraId="65BCEADD"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culture of fear (e)</w:t>
      </w:r>
    </w:p>
    <w:p w14:paraId="1B8B206A"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imperial mindset (f)</w:t>
      </w:r>
    </w:p>
    <w:p w14:paraId="43674D36"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strong leader (g)</w:t>
      </w:r>
    </w:p>
    <w:p w14:paraId="6D09EE20" w14:textId="77777777" w:rsidR="00B64F4B" w:rsidRPr="00B64F4B" w:rsidRDefault="00B64F4B" w:rsidP="00B64F4B">
      <w:pPr>
        <w:pStyle w:val="ListParagraph"/>
        <w:numPr>
          <w:ilvl w:val="0"/>
          <w:numId w:val="1"/>
        </w:numPr>
        <w:spacing w:line="300" w:lineRule="exact"/>
        <w:ind w:left="714" w:hanging="357"/>
        <w:rPr>
          <w:rFonts w:ascii="Times New Roman" w:hAnsi="Times New Roman" w:cs="Times New Roman"/>
        </w:rPr>
      </w:pPr>
      <w:r w:rsidRPr="00B64F4B">
        <w:rPr>
          <w:rFonts w:ascii="Times New Roman" w:hAnsi="Times New Roman" w:cs="Times New Roman"/>
          <w:i/>
          <w:iCs/>
        </w:rPr>
        <w:t>government propaganda (h).</w:t>
      </w:r>
    </w:p>
    <w:p w14:paraId="310135D7" w14:textId="77777777" w:rsidR="00B64F4B" w:rsidRPr="00B64F4B" w:rsidRDefault="00B64F4B" w:rsidP="00B64F4B">
      <w:pPr>
        <w:rPr>
          <w:rFonts w:ascii="Times New Roman" w:hAnsi="Times New Roman" w:cs="Times New Roman"/>
        </w:rPr>
      </w:pPr>
    </w:p>
    <w:p w14:paraId="167B4875" w14:textId="77777777" w:rsidR="00B64F4B" w:rsidRPr="00B64F4B" w:rsidRDefault="00B64F4B" w:rsidP="00B64F4B">
      <w:pPr>
        <w:rPr>
          <w:rFonts w:ascii="Times New Roman" w:hAnsi="Times New Roman" w:cs="Times New Roman"/>
        </w:rPr>
      </w:pPr>
      <w:r w:rsidRPr="00B64F4B">
        <w:rPr>
          <w:rFonts w:ascii="Times New Roman" w:hAnsi="Times New Roman" w:cs="Times New Roman"/>
          <w:noProof/>
        </w:rPr>
        <mc:AlternateContent>
          <mc:Choice Requires="cx1">
            <w:drawing>
              <wp:inline distT="0" distB="0" distL="0" distR="0" wp14:anchorId="071D0DF1" wp14:editId="00AC9C9D">
                <wp:extent cx="5731510" cy="2839085"/>
                <wp:effectExtent l="0" t="0" r="0" b="0"/>
                <wp:docPr id="1" name="Chart 1">
                  <a:extLst xmlns:a="http://schemas.openxmlformats.org/drawingml/2006/main">
                    <a:ext uri="{FF2B5EF4-FFF2-40B4-BE49-F238E27FC236}">
                      <a16:creationId xmlns:a16="http://schemas.microsoft.com/office/drawing/2014/main" id="{E3304585-78C9-EC41-B6FF-70E44C8D10C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071D0DF1" wp14:editId="00AC9C9D">
                <wp:extent cx="5731510" cy="2839085"/>
                <wp:effectExtent l="0" t="0" r="0" b="0"/>
                <wp:docPr id="1" name="Chart 1">
                  <a:extLst xmlns:a="http://schemas.openxmlformats.org/drawingml/2006/main">
                    <a:ext uri="{FF2B5EF4-FFF2-40B4-BE49-F238E27FC236}">
                      <a16:creationId xmlns:a16="http://schemas.microsoft.com/office/drawing/2014/main" id="{E3304585-78C9-EC41-B6FF-70E44C8D10C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3304585-78C9-EC41-B6FF-70E44C8D10C8}"/>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731510" cy="2839085"/>
                        </a:xfrm>
                        <a:prstGeom prst="rect">
                          <a:avLst/>
                        </a:prstGeom>
                      </pic:spPr>
                    </pic:pic>
                  </a:graphicData>
                </a:graphic>
              </wp:inline>
            </w:drawing>
          </mc:Fallback>
        </mc:AlternateContent>
      </w:r>
    </w:p>
    <w:p w14:paraId="129771B2" w14:textId="77777777" w:rsidR="00B64F4B" w:rsidRPr="00B64F4B" w:rsidRDefault="00B64F4B" w:rsidP="00B64F4B">
      <w:pPr>
        <w:rPr>
          <w:rFonts w:ascii="Times New Roman" w:hAnsi="Times New Roman" w:cs="Times New Roman"/>
        </w:rPr>
      </w:pPr>
    </w:p>
    <w:p w14:paraId="56F16E30" w14:textId="77777777" w:rsidR="00B64F4B" w:rsidRPr="00B64F4B" w:rsidRDefault="00B64F4B" w:rsidP="00B64F4B">
      <w:pPr>
        <w:rPr>
          <w:rFonts w:ascii="Times New Roman" w:hAnsi="Times New Roman" w:cs="Times New Roman"/>
        </w:rPr>
      </w:pPr>
      <w:r w:rsidRPr="00B64F4B">
        <w:rPr>
          <w:rFonts w:ascii="Times New Roman" w:hAnsi="Times New Roman" w:cs="Times New Roman"/>
        </w:rPr>
        <w:t>Autocracy is defined by single party dominance, military rule, and a focus on the leader’s personality. All autocracies have the first, along with one or both of the remaining criteria. Countries may become more autocratic if they reduce press freedom, increase government propaganda, deepen a culture of fear in their citizens, or rely more heavily on military power.</w:t>
      </w:r>
    </w:p>
    <w:p w14:paraId="6B48D7CA" w14:textId="4DED1070" w:rsidR="003103AD" w:rsidRPr="00B64F4B" w:rsidRDefault="003103AD" w:rsidP="00B64F4B">
      <w:pPr>
        <w:rPr>
          <w:rFonts w:ascii="Times New Roman" w:hAnsi="Times New Roman" w:cs="Times New Roman"/>
        </w:rPr>
      </w:pPr>
    </w:p>
    <w:sectPr w:rsidR="003103AD" w:rsidRPr="00B6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21B"/>
    <w:multiLevelType w:val="hybridMultilevel"/>
    <w:tmpl w:val="73423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80AD5"/>
    <w:multiLevelType w:val="multilevel"/>
    <w:tmpl w:val="7342378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29990307">
    <w:abstractNumId w:val="0"/>
  </w:num>
  <w:num w:numId="2" w16cid:durableId="128916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F6"/>
    <w:rsid w:val="00015158"/>
    <w:rsid w:val="00020220"/>
    <w:rsid w:val="0011710D"/>
    <w:rsid w:val="00235C89"/>
    <w:rsid w:val="00243F81"/>
    <w:rsid w:val="002A6211"/>
    <w:rsid w:val="002C528B"/>
    <w:rsid w:val="003103AD"/>
    <w:rsid w:val="003478D8"/>
    <w:rsid w:val="00371A1B"/>
    <w:rsid w:val="004B2570"/>
    <w:rsid w:val="005C1356"/>
    <w:rsid w:val="0060642C"/>
    <w:rsid w:val="00607232"/>
    <w:rsid w:val="00694941"/>
    <w:rsid w:val="008448F6"/>
    <w:rsid w:val="0093229F"/>
    <w:rsid w:val="009E74E1"/>
    <w:rsid w:val="00A226C7"/>
    <w:rsid w:val="00A81773"/>
    <w:rsid w:val="00B424A3"/>
    <w:rsid w:val="00B64F4B"/>
    <w:rsid w:val="00E1586D"/>
    <w:rsid w:val="00E65B4B"/>
    <w:rsid w:val="00E72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B9"/>
  <w15:chartTrackingRefBased/>
  <w15:docId w15:val="{C1228D9B-F608-664A-9F0A-45B50A29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F6"/>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8F6"/>
    <w:pPr>
      <w:spacing w:before="100" w:beforeAutospacing="1" w:after="100" w:afterAutospacing="1"/>
    </w:pPr>
    <w:rPr>
      <w:rFonts w:ascii="Times New Roman" w:eastAsia="Times New Roman" w:hAnsi="Times New Roman" w:cs="Times New Roman"/>
      <w:sz w:val="24"/>
      <w:lang w:val="en-US" w:eastAsia="en-GB"/>
    </w:rPr>
  </w:style>
  <w:style w:type="character" w:styleId="CommentReference">
    <w:name w:val="annotation reference"/>
    <w:basedOn w:val="DefaultParagraphFont"/>
    <w:uiPriority w:val="99"/>
    <w:semiHidden/>
    <w:unhideWhenUsed/>
    <w:rsid w:val="008448F6"/>
    <w:rPr>
      <w:sz w:val="16"/>
      <w:szCs w:val="16"/>
    </w:rPr>
  </w:style>
  <w:style w:type="paragraph" w:styleId="CommentText">
    <w:name w:val="annotation text"/>
    <w:basedOn w:val="Normal"/>
    <w:link w:val="CommentTextChar"/>
    <w:uiPriority w:val="99"/>
    <w:semiHidden/>
    <w:unhideWhenUsed/>
    <w:rsid w:val="008448F6"/>
    <w:rPr>
      <w:szCs w:val="20"/>
    </w:rPr>
  </w:style>
  <w:style w:type="character" w:customStyle="1" w:styleId="CommentTextChar">
    <w:name w:val="Comment Text Char"/>
    <w:basedOn w:val="DefaultParagraphFont"/>
    <w:link w:val="CommentText"/>
    <w:uiPriority w:val="99"/>
    <w:semiHidden/>
    <w:rsid w:val="008448F6"/>
    <w:rPr>
      <w:rFonts w:ascii="Arial" w:hAnsi="Arial" w:cs="Times New Roman (Body CS)"/>
      <w:sz w:val="20"/>
      <w:szCs w:val="20"/>
    </w:rPr>
  </w:style>
  <w:style w:type="character" w:styleId="LineNumber">
    <w:name w:val="line number"/>
    <w:basedOn w:val="DefaultParagraphFont"/>
    <w:uiPriority w:val="99"/>
    <w:semiHidden/>
    <w:unhideWhenUsed/>
    <w:rsid w:val="003103AD"/>
  </w:style>
  <w:style w:type="table" w:styleId="TableGrid">
    <w:name w:val="Table Grid"/>
    <w:basedOn w:val="TableNormal"/>
    <w:uiPriority w:val="39"/>
    <w:rsid w:val="004B2570"/>
    <w:rPr>
      <w:rFonts w:ascii="Arial" w:hAnsi="Arial" w:cs="Times New Roman (Body CS)"/>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F4B"/>
    <w:pPr>
      <w:ind w:left="720"/>
      <w:contextualSpacing/>
    </w:pPr>
  </w:style>
  <w:style w:type="numbering" w:customStyle="1" w:styleId="CurrentList1">
    <w:name w:val="Current List1"/>
    <w:uiPriority w:val="99"/>
    <w:rsid w:val="00B64F4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brianholmes/Downloads/Data%20source%20-%20GAMSAT%20autocracy.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Sheet1!$B$3:$C$34</cx:f>
        <cx:lvl ptCount="32">
          <cx:pt idx="0">a</cx:pt>
          <cx:pt idx="1">b</cx:pt>
          <cx:pt idx="2">c</cx:pt>
          <cx:pt idx="3">d</cx:pt>
          <cx:pt idx="4">e</cx:pt>
          <cx:pt idx="5">f</cx:pt>
          <cx:pt idx="6">g</cx:pt>
          <cx:pt idx="7">h</cx:pt>
          <cx:pt idx="8">a</cx:pt>
          <cx:pt idx="9">b</cx:pt>
          <cx:pt idx="10">c</cx:pt>
          <cx:pt idx="11">d</cx:pt>
          <cx:pt idx="12">e</cx:pt>
          <cx:pt idx="13">f</cx:pt>
          <cx:pt idx="14">g</cx:pt>
          <cx:pt idx="15">h</cx:pt>
          <cx:pt idx="16">a</cx:pt>
          <cx:pt idx="17">b</cx:pt>
          <cx:pt idx="18">c</cx:pt>
          <cx:pt idx="19">d</cx:pt>
          <cx:pt idx="20">e</cx:pt>
          <cx:pt idx="21">f</cx:pt>
          <cx:pt idx="22">g</cx:pt>
          <cx:pt idx="23">h</cx:pt>
          <cx:pt idx="24">a</cx:pt>
          <cx:pt idx="25">b</cx:pt>
          <cx:pt idx="26">c</cx:pt>
          <cx:pt idx="27">d</cx:pt>
          <cx:pt idx="28">e</cx:pt>
          <cx:pt idx="29">f</cx:pt>
          <cx:pt idx="30">g</cx:pt>
          <cx:pt idx="31">h</cx:pt>
        </cx:lvl>
        <cx:lvl ptCount="32">
          <cx:pt idx="0">Country I</cx:pt>
          <cx:pt idx="1">Country I</cx:pt>
          <cx:pt idx="2">Country I</cx:pt>
          <cx:pt idx="3">Country I</cx:pt>
          <cx:pt idx="4">Country I</cx:pt>
          <cx:pt idx="5">Country I</cx:pt>
          <cx:pt idx="6">Country I</cx:pt>
          <cx:pt idx="7">Country I</cx:pt>
          <cx:pt idx="8">Country II</cx:pt>
          <cx:pt idx="9">Country II</cx:pt>
          <cx:pt idx="10">Country II</cx:pt>
          <cx:pt idx="11">Country II</cx:pt>
          <cx:pt idx="12">Country II</cx:pt>
          <cx:pt idx="13">Country II</cx:pt>
          <cx:pt idx="14">Country II</cx:pt>
          <cx:pt idx="15">Country II</cx:pt>
          <cx:pt idx="16">Country III</cx:pt>
          <cx:pt idx="17">Country III</cx:pt>
          <cx:pt idx="18">Country III</cx:pt>
          <cx:pt idx="19">Country III</cx:pt>
          <cx:pt idx="20">Country III</cx:pt>
          <cx:pt idx="21">Country III</cx:pt>
          <cx:pt idx="22">Country III</cx:pt>
          <cx:pt idx="23">Country III</cx:pt>
          <cx:pt idx="24">Country IV</cx:pt>
          <cx:pt idx="25">Country IV</cx:pt>
          <cx:pt idx="26">Country IV</cx:pt>
          <cx:pt idx="27">Country IV</cx:pt>
          <cx:pt idx="28">Country IV</cx:pt>
          <cx:pt idx="29">Country IV</cx:pt>
          <cx:pt idx="30">Country IV</cx:pt>
          <cx:pt idx="31">Country IV</cx:pt>
        </cx:lvl>
      </cx:strDim>
      <cx:numDim type="size">
        <cx:f>Sheet1!$D$3:$D$34</cx:f>
        <cx:lvl ptCount="32" formatCode="General">
          <cx:pt idx="0">5</cx:pt>
          <cx:pt idx="1">7</cx:pt>
          <cx:pt idx="2">5</cx:pt>
          <cx:pt idx="3">3</cx:pt>
          <cx:pt idx="4">7</cx:pt>
          <cx:pt idx="5">10</cx:pt>
          <cx:pt idx="6">8</cx:pt>
          <cx:pt idx="7">6</cx:pt>
          <cx:pt idx="8">9</cx:pt>
          <cx:pt idx="9">5</cx:pt>
          <cx:pt idx="10">10</cx:pt>
          <cx:pt idx="11">6</cx:pt>
          <cx:pt idx="12">4</cx:pt>
          <cx:pt idx="13">4</cx:pt>
          <cx:pt idx="14">8</cx:pt>
          <cx:pt idx="15">2</cx:pt>
          <cx:pt idx="16">6</cx:pt>
          <cx:pt idx="17">10</cx:pt>
          <cx:pt idx="18">1</cx:pt>
          <cx:pt idx="19">9</cx:pt>
          <cx:pt idx="20">2</cx:pt>
          <cx:pt idx="21">1</cx:pt>
          <cx:pt idx="22">6</cx:pt>
          <cx:pt idx="23">7</cx:pt>
          <cx:pt idx="24">1</cx:pt>
          <cx:pt idx="25">9</cx:pt>
          <cx:pt idx="26">3</cx:pt>
          <cx:pt idx="27">1</cx:pt>
          <cx:pt idx="28">7</cx:pt>
          <cx:pt idx="29">7</cx:pt>
          <cx:pt idx="30">10</cx:pt>
          <cx:pt idx="31">4</cx:pt>
        </cx:lvl>
      </cx:numDim>
    </cx:data>
  </cx:chartData>
  <cx:chart>
    <cx:plotArea>
      <cx:plotAreaRegion>
        <cx:series layoutId="treemap" uniqueId="{40F89351-E62E-594B-ACE5-52F924EDA063}">
          <cx:dataPt idx="0">
            <cx:spPr>
              <a:noFill/>
              <a:ln>
                <a:solidFill>
                  <a:sysClr val="windowText" lastClr="000000"/>
                </a:solidFill>
              </a:ln>
            </cx:spPr>
          </cx:dataPt>
          <cx:dataPt idx="9">
            <cx:spPr>
              <a:solidFill>
                <a:sysClr val="window" lastClr="FFFFFF">
                  <a:lumMod val="85000"/>
                </a:sysClr>
              </a:solidFill>
              <a:ln>
                <a:solidFill>
                  <a:sysClr val="windowText" lastClr="000000"/>
                </a:solidFill>
              </a:ln>
            </cx:spPr>
          </cx:dataPt>
          <cx:dataPt idx="18">
            <cx:spPr>
              <a:noFill/>
              <a:ln>
                <a:solidFill>
                  <a:sysClr val="windowText" lastClr="000000"/>
                </a:solidFill>
              </a:ln>
            </cx:spPr>
          </cx:dataPt>
          <cx:dataPt idx="27">
            <cx:spPr>
              <a:solidFill>
                <a:sysClr val="window" lastClr="FFFFFF">
                  <a:lumMod val="85000"/>
                </a:sysClr>
              </a:solidFill>
              <a:ln>
                <a:solidFill>
                  <a:sysClr val="windowText" lastClr="000000"/>
                </a:solidFill>
              </a:ln>
            </cx:spPr>
          </cx:dataPt>
          <cx:dataLabels pos="inEnd">
            <cx:txPr>
              <a:bodyPr spcFirstLastPara="1" vertOverflow="ellipsis" horzOverflow="overflow" wrap="square" lIns="0" tIns="0" rIns="0" bIns="0" anchor="ctr" anchorCtr="1"/>
              <a:lstStyle/>
              <a:p>
                <a:pPr algn="ctr" rtl="0">
                  <a:defRPr sz="1000">
                    <a:solidFill>
                      <a:schemeClr val="tx1"/>
                    </a:solidFill>
                    <a:latin typeface="Arial" panose="020B0604020202020204" pitchFamily="34" charset="0"/>
                    <a:ea typeface="Arial" panose="020B0604020202020204" pitchFamily="34" charset="0"/>
                    <a:cs typeface="Arial" panose="020B0604020202020204" pitchFamily="34" charset="0"/>
                  </a:defRPr>
                </a:pPr>
                <a:endParaRPr lang="en-GB" sz="1000" b="0" i="0" u="none" strike="noStrike" baseline="0">
                  <a:solidFill>
                    <a:schemeClr val="tx1"/>
                  </a:solidFill>
                  <a:latin typeface="Arial" panose="020B0604020202020204" pitchFamily="34" charset="0"/>
                  <a:cs typeface="Arial" panose="020B0604020202020204" pitchFamily="34" charset="0"/>
                </a:endParaRPr>
              </a:p>
            </cx:txPr>
            <cx:visibility seriesName="0" categoryName="1" value="0"/>
          </cx:dataLabels>
          <cx:dataId val="0"/>
          <cx:layoutPr>
            <cx:parentLabelLayout val="overlapping"/>
          </cx:layoutPr>
        </cx:series>
      </cx:plotAreaRegion>
    </cx:plotArea>
  </cx:chart>
  <cx:spPr>
    <a:noFill/>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A9DB-EFA1-B348-B4AE-1D28CAFD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Zizza</dc:creator>
  <cp:keywords/>
  <dc:description/>
  <cp:lastModifiedBy>Bobby Zizza</cp:lastModifiedBy>
  <cp:revision>3</cp:revision>
  <dcterms:created xsi:type="dcterms:W3CDTF">2022-03-29T16:25:00Z</dcterms:created>
  <dcterms:modified xsi:type="dcterms:W3CDTF">2022-03-29T16:30:00Z</dcterms:modified>
</cp:coreProperties>
</file>