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I–V–vi–IV Canonical Necklace Families (Complete Catalog Skeleton)</w:t>
      </w:r>
    </w:p>
    <w:p>
      <w:pPr>
        <w:pStyle w:val="Heading1"/>
      </w:pPr>
      <w:r>
        <w:t>Necklace Family 1: I–V–vi–IV</w:t>
      </w:r>
    </w:p>
    <w:p>
      <w:pPr>
        <w:pStyle w:val="Heading2"/>
      </w:pPr>
      <w:r>
        <w:t>Rotation 0: I–V–vi–IV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V–vi–IV–I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vi–IV–I–V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IV–I–V–vi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2: I–V–IV–vi</w:t>
      </w:r>
    </w:p>
    <w:p>
      <w:pPr>
        <w:pStyle w:val="Heading2"/>
      </w:pPr>
      <w:r>
        <w:t>Rotation 0: I–V–IV–vi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V–IV–vi–I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IV–vi–I–V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vi–I–V–IV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3: I–vi–V–IV</w:t>
      </w:r>
    </w:p>
    <w:p>
      <w:pPr>
        <w:pStyle w:val="Heading2"/>
      </w:pPr>
      <w:r>
        <w:t>Rotation 0: I–vi–V–IV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vi–V–IV–I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V–IV–I–vi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IV–I–vi–V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4: I–vi–IV–V</w:t>
      </w:r>
    </w:p>
    <w:p>
      <w:pPr>
        <w:pStyle w:val="Heading2"/>
      </w:pPr>
      <w:r>
        <w:t>Rotation 0: I–vi–IV–V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vi–IV–V–I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IV–V–I–vi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V–I–vi–IV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5: I–IV–V–vi</w:t>
      </w:r>
    </w:p>
    <w:p>
      <w:pPr>
        <w:pStyle w:val="Heading2"/>
      </w:pPr>
      <w:r>
        <w:t>Rotation 0: I–IV–V–vi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IV–V–vi–I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V–vi–I–IV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vi–I–IV–V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6: I–IV–vi–V</w:t>
      </w:r>
    </w:p>
    <w:p>
      <w:pPr>
        <w:pStyle w:val="Heading2"/>
      </w:pPr>
      <w:r>
        <w:t>Rotation 0: I–IV–vi–V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IV–vi–V–I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vi–V–I–IV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V–I–IV–vi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Root Position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1st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2nd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3rd Inversion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r>
        <w:t>Triads:</w:t>
      </w:r>
    </w:p>
    <w:p>
      <w:r>
        <w:t>With 7ths:</w:t>
      </w:r>
    </w:p>
    <w:p>
      <w:r>
        <w:t>With Extensions: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