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sz w:val="36"/>
        </w:rPr>
        <w:t>SOP-002 Frontline Guidance, Delegate-Back, and Response Rules</w:t>
      </w:r>
    </w:p>
    <w:p>
      <w:r>
        <w:rPr>
          <w:rFonts w:ascii="Cambria" w:hAnsi="Cambria"/>
          <w:sz w:val="20"/>
        </w:rPr>
        <w:t xml:space="preserve">Document ID: SOP-002  </w:t>
      </w:r>
    </w:p>
    <w:p>
      <w:r>
        <w:rPr>
          <w:rFonts w:ascii="Cambria" w:hAnsi="Cambria"/>
          <w:sz w:val="20"/>
        </w:rPr>
        <w:t xml:space="preserve">Title: Frontline Guidance, Delegate-Back, and Response Rules  </w:t>
      </w:r>
    </w:p>
    <w:p>
      <w:r>
        <w:rPr>
          <w:rFonts w:ascii="Cambria" w:hAnsi="Cambria"/>
          <w:sz w:val="20"/>
        </w:rPr>
        <w:t xml:space="preserve">Version: 1.1  </w:t>
      </w:r>
    </w:p>
    <w:p>
      <w:r>
        <w:rPr>
          <w:rFonts w:ascii="Cambria" w:hAnsi="Cambria"/>
          <w:sz w:val="20"/>
        </w:rPr>
        <w:t xml:space="preserve">Effective Date: 2026-05-04  </w:t>
      </w:r>
    </w:p>
    <w:p>
      <w:r>
        <w:rPr>
          <w:rFonts w:ascii="Cambria" w:hAnsi="Cambria"/>
          <w:sz w:val="20"/>
        </w:rPr>
        <w:t xml:space="preserve">Process Area: frontline guidance  </w:t>
      </w:r>
    </w:p>
    <w:p>
      <w:r>
        <w:rPr>
          <w:rFonts w:ascii="Cambria" w:hAnsi="Cambria"/>
          <w:sz w:val="20"/>
        </w:rPr>
        <w:t xml:space="preserve">Source Type: sop  </w:t>
      </w:r>
    </w:p>
    <w:p>
      <w:r>
        <w:rPr>
          <w:rFonts w:ascii="Cambria" w:hAnsi="Cambria"/>
          <w:sz w:val="20"/>
        </w:rPr>
        <w:t>Synthetic: true</w:t>
      </w:r>
    </w:p>
    <w:p>
      <w:pPr>
        <w:pStyle w:val="Heading2"/>
      </w:pPr>
      <w:r>
        <w:rPr>
          <w:rFonts w:ascii="Cambria" w:hAnsi="Cambria"/>
          <w:sz w:val="28"/>
        </w:rPr>
        <w:t>Purpose</w:t>
      </w:r>
    </w:p>
    <w:p>
      <w:r>
        <w:rPr>
          <w:rFonts w:ascii="Cambria" w:hAnsi="Cambria"/>
          <w:sz w:val="20"/>
        </w:rPr>
        <w:t>Define when a synthetic inquiry should be handled through frontline guidance, delegated to a frontline pharmacist, or answered by Technical Services as a guidance-only response.</w:t>
      </w:r>
    </w:p>
    <w:p>
      <w:pPr>
        <w:pStyle w:val="Heading2"/>
      </w:pPr>
      <w:r>
        <w:rPr>
          <w:rFonts w:ascii="Cambria" w:hAnsi="Cambria"/>
          <w:sz w:val="28"/>
        </w:rPr>
        <w:t>Scope</w:t>
      </w:r>
    </w:p>
    <w:p>
      <w:r>
        <w:rPr>
          <w:rFonts w:ascii="Cambria" w:hAnsi="Cambria"/>
          <w:sz w:val="20"/>
        </w:rPr>
        <w:t>This SOP applies to ingredient-presence questions, oral-liquid shortage counseling, temperature-excursion professional-judgment questions, routine palatability or flavor rejection, and limited-guidance specialty-compound questions.</w:t>
      </w:r>
    </w:p>
    <w:p>
      <w:pPr>
        <w:pStyle w:val="Heading2"/>
      </w:pPr>
      <w:r>
        <w:rPr>
          <w:rFonts w:ascii="Cambria" w:hAnsi="Cambria"/>
          <w:sz w:val="28"/>
        </w:rPr>
        <w:t>Key Distinction</w:t>
      </w:r>
    </w:p>
    <w:p>
      <w:r>
        <w:rPr>
          <w:rFonts w:ascii="Cambria" w:hAnsi="Cambria"/>
          <w:sz w:val="20"/>
        </w:rPr>
        <w:t>delegate_to_frontline_pharmacist is used when a customer-reported concern should be handled using guidance available to frontline pharmacists.</w:t>
      </w:r>
    </w:p>
    <w:p>
      <w:r>
        <w:rPr>
          <w:rFonts w:ascii="Cambria" w:hAnsi="Cambria"/>
          <w:sz w:val="20"/>
        </w:rPr>
        <w:t>respond_to_frontline_pharmacist is used when the frontline pharmacist is the person asking Technical Services a question. This is usually a general-question submission with guidance-only review scope.</w:t>
      </w:r>
    </w:p>
    <w:p>
      <w:pPr>
        <w:pStyle w:val="Heading2"/>
      </w:pPr>
      <w:r>
        <w:rPr>
          <w:rFonts w:ascii="Cambria" w:hAnsi="Cambria"/>
          <w:sz w:val="28"/>
        </w:rPr>
        <w:t>Review Procedure</w:t>
      </w:r>
    </w:p>
    <w:p>
      <w:pPr>
        <w:pStyle w:val="ListNumber"/>
      </w:pPr>
      <w:r>
        <w:rPr>
          <w:rFonts w:ascii="Cambria" w:hAnsi="Cambria"/>
          <w:sz w:val="20"/>
        </w:rPr>
        <w:t>Determine whether the submitter is a frontline pharmacist.</w:t>
      </w:r>
    </w:p>
    <w:p>
      <w:pPr>
        <w:pStyle w:val="ListNumber"/>
      </w:pPr>
      <w:r>
        <w:rPr>
          <w:rFonts w:ascii="Cambria" w:hAnsi="Cambria"/>
          <w:sz w:val="20"/>
        </w:rPr>
        <w:t>Determine whether the concern is covered by known frontline guidance.</w:t>
      </w:r>
    </w:p>
    <w:p>
      <w:pPr>
        <w:pStyle w:val="ListNumber"/>
      </w:pPr>
      <w:r>
        <w:rPr>
          <w:rFonts w:ascii="Cambria" w:hAnsi="Cambria"/>
          <w:sz w:val="20"/>
        </w:rPr>
        <w:t>If the submitter is a frontline pharmacist asking for guidance, respond to the frontline pharmacist rather than delegating back.</w:t>
      </w:r>
    </w:p>
    <w:p>
      <w:pPr>
        <w:pStyle w:val="ListNumber"/>
      </w:pPr>
      <w:r>
        <w:rPr>
          <w:rFonts w:ascii="Cambria" w:hAnsi="Cambria"/>
          <w:sz w:val="20"/>
        </w:rPr>
        <w:t>If the submitter is not a frontline pharmacist and the issue is covered by frontline guidance, delegate to the frontline pharmacist unless additional product-quality signals exist.</w:t>
      </w:r>
    </w:p>
    <w:p>
      <w:pPr>
        <w:pStyle w:val="ListNumber"/>
      </w:pPr>
      <w:r>
        <w:rPr>
          <w:rFonts w:ascii="Cambria" w:hAnsi="Cambria"/>
          <w:sz w:val="20"/>
        </w:rPr>
        <w:t>Escalate out of this SOP when the narrative includes suspected ADE, dispensing error, product-quality concern, hospitalization, death, legal threat, or veterinarian allegation of harm.</w:t>
      </w:r>
    </w:p>
    <w:p>
      <w:pPr>
        <w:pStyle w:val="Heading2"/>
      </w:pPr>
      <w:r>
        <w:rPr>
          <w:rFonts w:ascii="Cambria" w:hAnsi="Cambria"/>
          <w:sz w:val="28"/>
        </w:rPr>
        <w:t>Common Guidance-Only Topics</w:t>
      </w:r>
    </w:p>
    <w:p>
      <w:pPr>
        <w:pStyle w:val="ListBullet"/>
      </w:pPr>
      <w:r>
        <w:rPr>
          <w:rFonts w:ascii="Cambria" w:hAnsi="Cambria"/>
          <w:sz w:val="20"/>
        </w:rPr>
        <w:t>Confirming or denying the presence of a specific ingredient when formula or inactive-ingredient information is available.</w:t>
      </w:r>
    </w:p>
    <w:p>
      <w:pPr>
        <w:pStyle w:val="ListBullet"/>
      </w:pPr>
      <w:r>
        <w:rPr>
          <w:rFonts w:ascii="Cambria" w:hAnsi="Cambria"/>
          <w:sz w:val="20"/>
        </w:rPr>
        <w:t>Oral liquid shortage counseling when there is no leakage, package damage, record discrepancy, or temperature excursion.</w:t>
      </w:r>
    </w:p>
    <w:p>
      <w:pPr>
        <w:pStyle w:val="ListBullet"/>
      </w:pPr>
      <w:r>
        <w:rPr>
          <w:rFonts w:ascii="Cambria" w:hAnsi="Cambria"/>
          <w:sz w:val="20"/>
        </w:rPr>
        <w:t>Temperature-excursion questions requiring pharmacist professional judgment within limited available guidance.</w:t>
      </w:r>
    </w:p>
    <w:p>
      <w:pPr>
        <w:pStyle w:val="ListBullet"/>
      </w:pPr>
      <w:r>
        <w:rPr>
          <w:rFonts w:ascii="Cambria" w:hAnsi="Cambria"/>
          <w:sz w:val="20"/>
        </w:rPr>
        <w:t>Routine palatability or flavor-rejection questions without severe vomiting or global escalation triggers.</w:t>
      </w:r>
    </w:p>
    <w:p>
      <w:pPr>
        <w:pStyle w:val="ListBullet"/>
      </w:pPr>
      <w:r>
        <w:rPr>
          <w:rFonts w:ascii="Cambria" w:hAnsi="Cambria"/>
          <w:sz w:val="20"/>
        </w:rPr>
        <w:t>Limited-guidance specialty-compound questions where only narrow guidance can be provided.</w:t>
      </w:r>
    </w:p>
    <w:p>
      <w:pPr>
        <w:pStyle w:val="Heading2"/>
      </w:pPr>
      <w:r>
        <w:rPr>
          <w:rFonts w:ascii="Cambria" w:hAnsi="Cambria"/>
          <w:sz w:val="28"/>
        </w:rPr>
        <w:t>Ingredient Presence Rule</w:t>
      </w:r>
    </w:p>
    <w:p>
      <w:r>
        <w:rPr>
          <w:rFonts w:ascii="Cambria" w:hAnsi="Cambria"/>
          <w:sz w:val="20"/>
        </w:rPr>
        <w:t>A specific ingredient may be confirmed or denied when appropriate formula information is available. A full blanket ingredient list should not be provided in the synthetic workflow.</w:t>
      </w:r>
    </w:p>
    <w:p>
      <w:pPr>
        <w:pStyle w:val="Heading2"/>
      </w:pPr>
      <w:r>
        <w:rPr>
          <w:rFonts w:ascii="Cambria" w:hAnsi="Cambria"/>
          <w:sz w:val="28"/>
        </w:rPr>
        <w:t>Notes and Limitations</w:t>
      </w:r>
    </w:p>
    <w:p>
      <w:r>
        <w:rPr>
          <w:rFonts w:ascii="Cambria" w:hAnsi="Cambria"/>
          <w:sz w:val="20"/>
        </w:rPr>
        <w:t>This SOP does not grant access to formula records, inactive ingredient lists, or real internal systems. The synthetic system may retrieve guidance, but the reviewer or approved system source owns the underlying fact.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ascadia Code" w:hAnsi="Cascadia Cod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