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sz w:val="36"/>
        </w:rPr>
        <w:t>SOP-003 Record Review, Lot/Batch Context, and Inventory Inspection</w:t>
      </w:r>
    </w:p>
    <w:p>
      <w:r>
        <w:rPr>
          <w:rFonts w:ascii="Cambria" w:hAnsi="Cambria"/>
          <w:sz w:val="20"/>
        </w:rPr>
        <w:t xml:space="preserve">Document ID: SOP-003  </w:t>
      </w:r>
    </w:p>
    <w:p>
      <w:r>
        <w:rPr>
          <w:rFonts w:ascii="Cambria" w:hAnsi="Cambria"/>
          <w:sz w:val="20"/>
        </w:rPr>
        <w:t xml:space="preserve">Title: Record Review, Lot/Batch Context, and Inventory Inspection  </w:t>
      </w:r>
    </w:p>
    <w:p>
      <w:r>
        <w:rPr>
          <w:rFonts w:ascii="Cambria" w:hAnsi="Cambria"/>
          <w:sz w:val="20"/>
        </w:rPr>
        <w:t xml:space="preserve">Version: 1.1  </w:t>
      </w:r>
    </w:p>
    <w:p>
      <w:r>
        <w:rPr>
          <w:rFonts w:ascii="Cambria" w:hAnsi="Cambria"/>
          <w:sz w:val="20"/>
        </w:rPr>
        <w:t xml:space="preserve">Effective Date: 2026-05-04  </w:t>
      </w:r>
    </w:p>
    <w:p>
      <w:r>
        <w:rPr>
          <w:rFonts w:ascii="Cambria" w:hAnsi="Cambria"/>
          <w:sz w:val="20"/>
        </w:rPr>
        <w:t xml:space="preserve">Process Area: record review  </w:t>
      </w:r>
    </w:p>
    <w:p>
      <w:r>
        <w:rPr>
          <w:rFonts w:ascii="Cambria" w:hAnsi="Cambria"/>
          <w:sz w:val="20"/>
        </w:rPr>
        <w:t xml:space="preserve">Source Type: sop  </w:t>
      </w:r>
    </w:p>
    <w:p>
      <w:r>
        <w:rPr>
          <w:rFonts w:ascii="Cambria" w:hAnsi="Cambria"/>
          <w:sz w:val="20"/>
        </w:rPr>
        <w:t>Synthetic: true</w:t>
      </w:r>
    </w:p>
    <w:p>
      <w:pPr>
        <w:pStyle w:val="Heading2"/>
      </w:pPr>
      <w:r>
        <w:rPr>
          <w:rFonts w:ascii="Cambria" w:hAnsi="Cambria"/>
          <w:sz w:val="28"/>
        </w:rPr>
        <w:t>Purpose</w:t>
      </w:r>
    </w:p>
    <w:p>
      <w:r>
        <w:rPr>
          <w:rFonts w:ascii="Cambria" w:hAnsi="Cambria"/>
          <w:sz w:val="20"/>
        </w:rPr>
        <w:t>Define when synthetic records require compounding-record review, lot/batch context review, or inventory inspection.</w:t>
      </w:r>
    </w:p>
    <w:p>
      <w:pPr>
        <w:pStyle w:val="Heading2"/>
      </w:pPr>
      <w:r>
        <w:rPr>
          <w:rFonts w:ascii="Cambria" w:hAnsi="Cambria"/>
          <w:sz w:val="28"/>
        </w:rPr>
        <w:t>Scope</w:t>
      </w:r>
    </w:p>
    <w:p>
      <w:r>
        <w:rPr>
          <w:rFonts w:ascii="Cambria" w:hAnsi="Cambria"/>
          <w:sz w:val="20"/>
        </w:rPr>
        <w:t>This SOP applies to customer-reported concerns, customer reviews, suspected documentation issues, possible product-quality concerns, and QRE-like events. It usually does not apply to guidance-only frontline pharmacist questions unless the narrative alleges a product concern.</w:t>
      </w:r>
    </w:p>
    <w:p>
      <w:pPr>
        <w:pStyle w:val="Heading2"/>
      </w:pPr>
      <w:r>
        <w:rPr>
          <w:rFonts w:ascii="Cambria" w:hAnsi="Cambria"/>
          <w:sz w:val="28"/>
        </w:rPr>
        <w:t>Review Procedure</w:t>
      </w:r>
    </w:p>
    <w:p>
      <w:pPr>
        <w:pStyle w:val="ListNumber"/>
      </w:pPr>
      <w:r>
        <w:rPr>
          <w:rFonts w:ascii="Cambria" w:hAnsi="Cambria"/>
          <w:sz w:val="20"/>
        </w:rPr>
        <w:t>Determine whether the review scope requires record review.</w:t>
      </w:r>
    </w:p>
    <w:p>
      <w:pPr>
        <w:pStyle w:val="ListNumber"/>
      </w:pPr>
      <w:r>
        <w:rPr>
          <w:rFonts w:ascii="Cambria" w:hAnsi="Cambria"/>
          <w:sz w:val="20"/>
        </w:rPr>
        <w:t>If record review is required, the reviewer should verify whether the associated synthetic compounding-record summary indicates no discrepancy, incomplete documentation, or documentation discrepancy.</w:t>
      </w:r>
    </w:p>
    <w:p>
      <w:pPr>
        <w:pStyle w:val="ListNumber"/>
      </w:pPr>
      <w:r>
        <w:rPr>
          <w:rFonts w:ascii="Cambria" w:hAnsi="Cambria"/>
          <w:sz w:val="20"/>
        </w:rPr>
        <w:t>If lot/batch context is relevant, review available synthetic lot/batch pattern summaries.</w:t>
      </w:r>
    </w:p>
    <w:p>
      <w:pPr>
        <w:pStyle w:val="ListNumber"/>
      </w:pPr>
      <w:r>
        <w:rPr>
          <w:rFonts w:ascii="Cambria" w:hAnsi="Cambria"/>
          <w:sz w:val="20"/>
        </w:rPr>
        <w:t>If remaining inventory is available in the synthetic scenario, document whether visual inspection found no concern, found a concern, or was not possible.</w:t>
      </w:r>
    </w:p>
    <w:p>
      <w:pPr>
        <w:pStyle w:val="ListNumber"/>
      </w:pPr>
      <w:r>
        <w:rPr>
          <w:rFonts w:ascii="Cambria" w:hAnsi="Cambria"/>
          <w:sz w:val="20"/>
        </w:rPr>
        <w:t>Do not claim that the RAG system directly inspected physical inventory or queried real compounding records.</w:t>
      </w:r>
    </w:p>
    <w:p>
      <w:pPr>
        <w:pStyle w:val="Heading2"/>
      </w:pPr>
      <w:r>
        <w:rPr>
          <w:rFonts w:ascii="Cambria" w:hAnsi="Cambria"/>
          <w:sz w:val="28"/>
        </w:rPr>
        <w:t>Record Review Result Values</w:t>
      </w:r>
    </w:p>
    <w:p>
      <w:pPr>
        <w:pStyle w:val="ListBullet"/>
      </w:pPr>
      <w:r>
        <w:rPr>
          <w:rFonts w:ascii="Cambria" w:hAnsi="Cambria"/>
          <w:sz w:val="20"/>
        </w:rPr>
        <w:t>no_discrepancy_found</w:t>
      </w:r>
    </w:p>
    <w:p>
      <w:pPr>
        <w:pStyle w:val="ListBullet"/>
      </w:pPr>
      <w:r>
        <w:rPr>
          <w:rFonts w:ascii="Cambria" w:hAnsi="Cambria"/>
          <w:sz w:val="20"/>
        </w:rPr>
        <w:t>documentation_incomplete</w:t>
      </w:r>
    </w:p>
    <w:p>
      <w:pPr>
        <w:pStyle w:val="ListBullet"/>
      </w:pPr>
      <w:r>
        <w:rPr>
          <w:rFonts w:ascii="Cambria" w:hAnsi="Cambria"/>
          <w:sz w:val="20"/>
        </w:rPr>
        <w:t>documentation_discrepancy_found</w:t>
      </w:r>
    </w:p>
    <w:p>
      <w:pPr>
        <w:pStyle w:val="ListBullet"/>
      </w:pPr>
      <w:r>
        <w:rPr>
          <w:rFonts w:ascii="Cambria" w:hAnsi="Cambria"/>
          <w:sz w:val="20"/>
        </w:rPr>
        <w:t>not_applicable</w:t>
      </w:r>
    </w:p>
    <w:p>
      <w:pPr>
        <w:pStyle w:val="Heading2"/>
      </w:pPr>
      <w:r>
        <w:rPr>
          <w:rFonts w:ascii="Cambria" w:hAnsi="Cambria"/>
          <w:sz w:val="28"/>
        </w:rPr>
        <w:t>Lot/Batch Pattern Summary Values</w:t>
      </w:r>
    </w:p>
    <w:p>
      <w:pPr>
        <w:pStyle w:val="ListBullet"/>
      </w:pPr>
      <w:r>
        <w:rPr>
          <w:rFonts w:ascii="Cambria" w:hAnsi="Cambria"/>
          <w:sz w:val="20"/>
        </w:rPr>
        <w:t>no_similar_batch_concerns_found</w:t>
      </w:r>
    </w:p>
    <w:p>
      <w:pPr>
        <w:pStyle w:val="ListBullet"/>
      </w:pPr>
      <w:r>
        <w:rPr>
          <w:rFonts w:ascii="Cambria" w:hAnsi="Cambria"/>
          <w:sz w:val="20"/>
        </w:rPr>
        <w:t>similar_concern_same_batch_found</w:t>
      </w:r>
    </w:p>
    <w:p>
      <w:pPr>
        <w:pStyle w:val="ListBullet"/>
      </w:pPr>
      <w:r>
        <w:rPr>
          <w:rFonts w:ascii="Cambria" w:hAnsi="Cambria"/>
          <w:sz w:val="20"/>
        </w:rPr>
        <w:t>similar_concern_same_medication_dosage_form_found</w:t>
      </w:r>
    </w:p>
    <w:p>
      <w:pPr>
        <w:pStyle w:val="ListBullet"/>
      </w:pPr>
      <w:r>
        <w:rPr>
          <w:rFonts w:ascii="Cambria" w:hAnsi="Cambria"/>
          <w:sz w:val="20"/>
        </w:rPr>
        <w:t>trend_threshold_met</w:t>
      </w:r>
    </w:p>
    <w:p>
      <w:pPr>
        <w:pStyle w:val="ListBullet"/>
      </w:pPr>
      <w:r>
        <w:rPr>
          <w:rFonts w:ascii="Cambria" w:hAnsi="Cambria"/>
          <w:sz w:val="20"/>
        </w:rPr>
        <w:t>unavailable</w:t>
      </w:r>
    </w:p>
    <w:p>
      <w:pPr>
        <w:pStyle w:val="ListBullet"/>
      </w:pPr>
      <w:r>
        <w:rPr>
          <w:rFonts w:ascii="Cambria" w:hAnsi="Cambria"/>
          <w:sz w:val="20"/>
        </w:rPr>
        <w:t>not_applicable</w:t>
      </w:r>
    </w:p>
    <w:p>
      <w:pPr>
        <w:pStyle w:val="Heading2"/>
      </w:pPr>
      <w:r>
        <w:rPr>
          <w:rFonts w:ascii="Cambria" w:hAnsi="Cambria"/>
          <w:sz w:val="28"/>
        </w:rPr>
        <w:t>Inventory Inspection Values</w:t>
      </w:r>
    </w:p>
    <w:p>
      <w:pPr>
        <w:pStyle w:val="ListBullet"/>
      </w:pPr>
      <w:r>
        <w:rPr>
          <w:rFonts w:ascii="Cambria" w:hAnsi="Cambria"/>
          <w:sz w:val="20"/>
        </w:rPr>
        <w:t>no_inventory_available</w:t>
      </w:r>
    </w:p>
    <w:p>
      <w:pPr>
        <w:pStyle w:val="ListBullet"/>
      </w:pPr>
      <w:r>
        <w:rPr>
          <w:rFonts w:ascii="Cambria" w:hAnsi="Cambria"/>
          <w:sz w:val="20"/>
        </w:rPr>
        <w:t>no_visual_concern_found</w:t>
      </w:r>
    </w:p>
    <w:p>
      <w:pPr>
        <w:pStyle w:val="ListBullet"/>
      </w:pPr>
      <w:r>
        <w:rPr>
          <w:rFonts w:ascii="Cambria" w:hAnsi="Cambria"/>
          <w:sz w:val="20"/>
        </w:rPr>
        <w:t>visual_concern_found</w:t>
      </w:r>
    </w:p>
    <w:p>
      <w:pPr>
        <w:pStyle w:val="ListBullet"/>
      </w:pPr>
      <w:r>
        <w:rPr>
          <w:rFonts w:ascii="Cambria" w:hAnsi="Cambria"/>
          <w:sz w:val="20"/>
        </w:rPr>
        <w:t>not_checked</w:t>
      </w:r>
    </w:p>
    <w:p>
      <w:pPr>
        <w:pStyle w:val="ListBullet"/>
      </w:pPr>
      <w:r>
        <w:rPr>
          <w:rFonts w:ascii="Cambria" w:hAnsi="Cambria"/>
          <w:sz w:val="20"/>
        </w:rPr>
        <w:t>not_applicable</w:t>
      </w:r>
    </w:p>
    <w:p>
      <w:pPr>
        <w:pStyle w:val="Heading2"/>
      </w:pPr>
      <w:r>
        <w:rPr>
          <w:rFonts w:ascii="Cambria" w:hAnsi="Cambria"/>
          <w:sz w:val="28"/>
        </w:rPr>
        <w:t>Notes and Limitations</w:t>
      </w:r>
    </w:p>
    <w:p>
      <w:r>
        <w:rPr>
          <w:rFonts w:ascii="Cambria" w:hAnsi="Cambria"/>
          <w:sz w:val="20"/>
        </w:rPr>
        <w:t>Synthetic lot/batch review is limited to fields present in synthetic inquiry records. It should not be presented as complete API-level or enterprise-wide trend surveillance.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Code" w:hAnsi="Cascadia Cod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