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mbria" w:hAnsi="Cambria"/>
          <w:sz w:val="36"/>
        </w:rPr>
        <w:t>SOP-004 Customer Context and Administration Review</w:t>
      </w:r>
    </w:p>
    <w:p>
      <w:r>
        <w:rPr>
          <w:rFonts w:ascii="Cambria" w:hAnsi="Cambria"/>
          <w:sz w:val="20"/>
        </w:rPr>
        <w:t xml:space="preserve">Document ID: SOP-004  </w:t>
      </w:r>
    </w:p>
    <w:p>
      <w:r>
        <w:rPr>
          <w:rFonts w:ascii="Cambria" w:hAnsi="Cambria"/>
          <w:sz w:val="20"/>
        </w:rPr>
        <w:t xml:space="preserve">Title: Customer Context and Administration Review  </w:t>
      </w:r>
    </w:p>
    <w:p>
      <w:r>
        <w:rPr>
          <w:rFonts w:ascii="Cambria" w:hAnsi="Cambria"/>
          <w:sz w:val="20"/>
        </w:rPr>
        <w:t xml:space="preserve">Version: 1.1  </w:t>
      </w:r>
    </w:p>
    <w:p>
      <w:r>
        <w:rPr>
          <w:rFonts w:ascii="Cambria" w:hAnsi="Cambria"/>
          <w:sz w:val="20"/>
        </w:rPr>
        <w:t xml:space="preserve">Effective Date: 2026-05-04  </w:t>
      </w:r>
    </w:p>
    <w:p>
      <w:r>
        <w:rPr>
          <w:rFonts w:ascii="Cambria" w:hAnsi="Cambria"/>
          <w:sz w:val="20"/>
        </w:rPr>
        <w:t xml:space="preserve">Process Area: customer context  </w:t>
      </w:r>
    </w:p>
    <w:p>
      <w:r>
        <w:rPr>
          <w:rFonts w:ascii="Cambria" w:hAnsi="Cambria"/>
          <w:sz w:val="20"/>
        </w:rPr>
        <w:t xml:space="preserve">Source Type: sop  </w:t>
      </w:r>
    </w:p>
    <w:p>
      <w:r>
        <w:rPr>
          <w:rFonts w:ascii="Cambria" w:hAnsi="Cambria"/>
          <w:sz w:val="20"/>
        </w:rPr>
        <w:t>Synthetic: true</w:t>
      </w:r>
    </w:p>
    <w:p>
      <w:pPr>
        <w:pStyle w:val="Heading2"/>
      </w:pPr>
      <w:r>
        <w:rPr>
          <w:rFonts w:ascii="Cambria" w:hAnsi="Cambria"/>
          <w:sz w:val="28"/>
        </w:rPr>
        <w:t>Purpose</w:t>
      </w:r>
    </w:p>
    <w:p>
      <w:r>
        <w:rPr>
          <w:rFonts w:ascii="Cambria" w:hAnsi="Cambria"/>
          <w:sz w:val="20"/>
        </w:rPr>
        <w:t>Define how synthetic inquiries use available customer-provided context, storage information, dosing descriptions, and administration details.</w:t>
      </w:r>
    </w:p>
    <w:p>
      <w:pPr>
        <w:pStyle w:val="Heading2"/>
      </w:pPr>
      <w:r>
        <w:rPr>
          <w:rFonts w:ascii="Cambria" w:hAnsi="Cambria"/>
          <w:sz w:val="28"/>
        </w:rPr>
        <w:t>Scope</w:t>
      </w:r>
    </w:p>
    <w:p>
      <w:r>
        <w:rPr>
          <w:rFonts w:ascii="Cambria" w:hAnsi="Cambria"/>
          <w:sz w:val="20"/>
        </w:rPr>
        <w:t>This SOP applies to palatability concerns, oral-liquid shortage reports, smell/appearance/viscosity concerns, possible administration problems, apparent efficacy concerns, and customer reviews with narrative text.</w:t>
      </w:r>
    </w:p>
    <w:p>
      <w:pPr>
        <w:pStyle w:val="Heading2"/>
      </w:pPr>
      <w:r>
        <w:rPr>
          <w:rFonts w:ascii="Cambria" w:hAnsi="Cambria"/>
          <w:sz w:val="28"/>
        </w:rPr>
        <w:t>Review Procedure</w:t>
      </w:r>
    </w:p>
    <w:p>
      <w:pPr>
        <w:pStyle w:val="ListNumber"/>
      </w:pPr>
      <w:r>
        <w:rPr>
          <w:rFonts w:ascii="Cambria" w:hAnsi="Cambria"/>
          <w:sz w:val="20"/>
        </w:rPr>
        <w:t>Review the concern narrative for customer-provided details.</w:t>
      </w:r>
    </w:p>
    <w:p>
      <w:pPr>
        <w:pStyle w:val="ListNumber"/>
      </w:pPr>
      <w:r>
        <w:rPr>
          <w:rFonts w:ascii="Cambria" w:hAnsi="Cambria"/>
          <w:sz w:val="20"/>
        </w:rPr>
        <w:t>Identify whether the customer describes administration method, storage conditions, timing of the concern, vomiting, foaming, refusal, leakage, damaged packaging, or broken dosage forms.</w:t>
      </w:r>
    </w:p>
    <w:p>
      <w:pPr>
        <w:pStyle w:val="ListNumber"/>
      </w:pPr>
      <w:r>
        <w:rPr>
          <w:rFonts w:ascii="Cambria" w:hAnsi="Cambria"/>
          <w:sz w:val="20"/>
        </w:rPr>
        <w:t>Identify missing information needed for the next review step.</w:t>
      </w:r>
    </w:p>
    <w:p>
      <w:pPr>
        <w:pStyle w:val="ListNumber"/>
      </w:pPr>
      <w:r>
        <w:rPr>
          <w:rFonts w:ascii="Cambria" w:hAnsi="Cambria"/>
          <w:sz w:val="20"/>
        </w:rPr>
        <w:t>Do not assume access to longitudinal patient history unless the synthetic record explicitly provides prior-context information.</w:t>
      </w:r>
    </w:p>
    <w:p>
      <w:pPr>
        <w:pStyle w:val="ListNumber"/>
      </w:pPr>
      <w:r>
        <w:rPr>
          <w:rFonts w:ascii="Cambria" w:hAnsi="Cambria"/>
          <w:sz w:val="20"/>
        </w:rPr>
        <w:t>Treat global escalation triggers as escalation issues rather than palatability-specific logic.</w:t>
      </w:r>
    </w:p>
    <w:p>
      <w:pPr>
        <w:pStyle w:val="Heading2"/>
      </w:pPr>
      <w:r>
        <w:rPr>
          <w:rFonts w:ascii="Cambria" w:hAnsi="Cambria"/>
          <w:sz w:val="28"/>
        </w:rPr>
        <w:t>Palatability and Flavor Rejection</w:t>
      </w:r>
    </w:p>
    <w:p>
      <w:r>
        <w:rPr>
          <w:rFonts w:ascii="Cambria" w:hAnsi="Cambria"/>
          <w:sz w:val="20"/>
        </w:rPr>
        <w:t>Routine palatability concerns may include refusal, foaming, taste aversion, or attempts to cleanse the palate. Severe vomiting may move the concern toward suspected ADE review.</w:t>
      </w:r>
    </w:p>
    <w:p>
      <w:r>
        <w:rPr>
          <w:rFonts w:ascii="Cambria" w:hAnsi="Cambria"/>
          <w:sz w:val="20"/>
        </w:rPr>
        <w:t>Hospitalization, death, legal threat, and veterinarian allegation of harm are not palatability-specific criteria. They are global escalation triggers handled under the escalation SOP.</w:t>
      </w:r>
    </w:p>
    <w:p>
      <w:pPr>
        <w:pStyle w:val="Heading2"/>
      </w:pPr>
      <w:r>
        <w:rPr>
          <w:rFonts w:ascii="Cambria" w:hAnsi="Cambria"/>
          <w:sz w:val="28"/>
        </w:rPr>
        <w:t>Oral Liquid Shortage Context</w:t>
      </w:r>
    </w:p>
    <w:p>
      <w:r>
        <w:rPr>
          <w:rFonts w:ascii="Cambria" w:hAnsi="Cambria"/>
          <w:sz w:val="20"/>
        </w:rPr>
        <w:t>Routine oral-liquid shortage questions are usually handled through frontline counseling unless the narrative includes leakage, package damage, compounding-record discrepancy, or temperature excursion.</w:t>
      </w:r>
    </w:p>
    <w:p>
      <w:pPr>
        <w:pStyle w:val="Heading2"/>
      </w:pPr>
      <w:r>
        <w:rPr>
          <w:rFonts w:ascii="Cambria" w:hAnsi="Cambria"/>
          <w:sz w:val="28"/>
        </w:rPr>
        <w:t>Notes and Limitations</w:t>
      </w:r>
    </w:p>
    <w:p>
      <w:r>
        <w:rPr>
          <w:rFonts w:ascii="Cambria" w:hAnsi="Cambria"/>
          <w:sz w:val="20"/>
        </w:rPr>
        <w:t>This SOP uses only customer-provided or synthetic review-summary context. It does not imply access to real order history, patient records, or customer account records.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mbria" w:hAnsi="Cambria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mbria" w:hAnsi="Cambria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mbria" w:hAnsi="Cambria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rPr>
      <w:rFonts w:ascii="Cascadia Code" w:hAnsi="Cascadia Code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OpenAI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