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sz w:val="36"/>
        </w:rPr>
        <w:t>SOP-005 API Reference, BUD, and Adverse Effect Plausibility Review</w:t>
      </w:r>
    </w:p>
    <w:p>
      <w:r>
        <w:rPr>
          <w:rFonts w:ascii="Cambria" w:hAnsi="Cambria"/>
          <w:sz w:val="20"/>
        </w:rPr>
        <w:t xml:space="preserve">Document ID: SOP-005  </w:t>
      </w:r>
    </w:p>
    <w:p>
      <w:r>
        <w:rPr>
          <w:rFonts w:ascii="Cambria" w:hAnsi="Cambria"/>
          <w:sz w:val="20"/>
        </w:rPr>
        <w:t xml:space="preserve">Title: API Reference, BUD, and Adverse Effect Plausibility Review  </w:t>
      </w:r>
    </w:p>
    <w:p>
      <w:r>
        <w:rPr>
          <w:rFonts w:ascii="Cambria" w:hAnsi="Cambria"/>
          <w:sz w:val="20"/>
        </w:rPr>
        <w:t xml:space="preserve">Version: 1.1  </w:t>
      </w:r>
    </w:p>
    <w:p>
      <w:r>
        <w:rPr>
          <w:rFonts w:ascii="Cambria" w:hAnsi="Cambria"/>
          <w:sz w:val="20"/>
        </w:rPr>
        <w:t xml:space="preserve">Effective Date: 2026-05-04  </w:t>
      </w:r>
    </w:p>
    <w:p>
      <w:r>
        <w:rPr>
          <w:rFonts w:ascii="Cambria" w:hAnsi="Cambria"/>
          <w:sz w:val="20"/>
        </w:rPr>
        <w:t xml:space="preserve">Process Area: API and BUD review  </w:t>
      </w:r>
    </w:p>
    <w:p>
      <w:r>
        <w:rPr>
          <w:rFonts w:ascii="Cambria" w:hAnsi="Cambria"/>
          <w:sz w:val="20"/>
        </w:rPr>
        <w:t xml:space="preserve">Source Type: sop  </w:t>
      </w:r>
    </w:p>
    <w:p>
      <w:r>
        <w:rPr>
          <w:rFonts w:ascii="Cambria" w:hAnsi="Cambria"/>
          <w:sz w:val="20"/>
        </w:rPr>
        <w:t>Synthetic: true</w:t>
      </w:r>
    </w:p>
    <w:p>
      <w:pPr>
        <w:pStyle w:val="Heading2"/>
      </w:pPr>
      <w:r>
        <w:rPr>
          <w:rFonts w:ascii="Cambria" w:hAnsi="Cambria"/>
          <w:sz w:val="28"/>
        </w:rPr>
        <w:t>Purpose</w:t>
      </w:r>
    </w:p>
    <w:p>
      <w:r>
        <w:rPr>
          <w:rFonts w:ascii="Cambria" w:hAnsi="Cambria"/>
          <w:sz w:val="20"/>
        </w:rPr>
        <w:t>Define how the synthetic workflow handles adverse-effect plausibility, BUD questions, and external reference limitations.</w:t>
      </w:r>
    </w:p>
    <w:p>
      <w:pPr>
        <w:pStyle w:val="Heading2"/>
      </w:pPr>
      <w:r>
        <w:rPr>
          <w:rFonts w:ascii="Cambria" w:hAnsi="Cambria"/>
          <w:sz w:val="28"/>
        </w:rPr>
        <w:t>Scope</w:t>
      </w:r>
    </w:p>
    <w:p>
      <w:r>
        <w:rPr>
          <w:rFonts w:ascii="Cambria" w:hAnsi="Cambria"/>
          <w:sz w:val="20"/>
        </w:rPr>
        <w:t>This SOP applies to suspected ADE narratives, flavor-related vomiting, efficacy concerns, BUD questions, and customer or veterinarian allegations involving medication effects.</w:t>
      </w:r>
    </w:p>
    <w:p>
      <w:pPr>
        <w:pStyle w:val="Heading2"/>
      </w:pPr>
      <w:r>
        <w:rPr>
          <w:rFonts w:ascii="Cambria" w:hAnsi="Cambria"/>
          <w:sz w:val="28"/>
        </w:rPr>
        <w:t>Review Procedure</w:t>
      </w:r>
    </w:p>
    <w:p>
      <w:pPr>
        <w:pStyle w:val="ListNumber"/>
      </w:pPr>
      <w:r>
        <w:rPr>
          <w:rFonts w:ascii="Cambria" w:hAnsi="Cambria"/>
          <w:sz w:val="20"/>
        </w:rPr>
        <w:t>Determine whether adverse-effect plausibility is needed to answer the question.</w:t>
      </w:r>
    </w:p>
    <w:p>
      <w:pPr>
        <w:pStyle w:val="ListNumber"/>
      </w:pPr>
      <w:r>
        <w:rPr>
          <w:rFonts w:ascii="Cambria" w:hAnsi="Cambria"/>
          <w:sz w:val="20"/>
        </w:rPr>
        <w:t>If the public synthetic corpus includes a synthetic API-reference document, retrieve and cite it as limited synthetic support.</w:t>
      </w:r>
    </w:p>
    <w:p>
      <w:pPr>
        <w:pStyle w:val="ListNumber"/>
      </w:pPr>
      <w:r>
        <w:rPr>
          <w:rFonts w:ascii="Cambria" w:hAnsi="Cambria"/>
          <w:sz w:val="20"/>
        </w:rPr>
        <w:t>If no synthetic reference exists, state that the public corpus does not support adverse-effect plausibility claims.</w:t>
      </w:r>
    </w:p>
    <w:p>
      <w:pPr>
        <w:pStyle w:val="ListNumber"/>
      </w:pPr>
      <w:r>
        <w:rPr>
          <w:rFonts w:ascii="Cambria" w:hAnsi="Cambria"/>
          <w:sz w:val="20"/>
        </w:rPr>
        <w:t>If compounding-record metadata is modeled, BUD is assumed present in the record summary; otherwise BUD should not be inferred.</w:t>
      </w:r>
    </w:p>
    <w:p>
      <w:pPr>
        <w:pStyle w:val="ListNumber"/>
      </w:pPr>
      <w:r>
        <w:rPr>
          <w:rFonts w:ascii="Cambria" w:hAnsi="Cambria"/>
          <w:sz w:val="20"/>
        </w:rPr>
        <w:t>Do not use licensed drug-information content or external reference text in the public corpus.</w:t>
      </w:r>
    </w:p>
    <w:p>
      <w:pPr>
        <w:pStyle w:val="Heading2"/>
      </w:pPr>
      <w:r>
        <w:rPr>
          <w:rFonts w:ascii="Cambria" w:hAnsi="Cambria"/>
          <w:sz w:val="28"/>
        </w:rPr>
        <w:t>Adverse Effect Support Values</w:t>
      </w:r>
    </w:p>
    <w:p>
      <w:pPr>
        <w:pStyle w:val="ListBullet"/>
      </w:pPr>
      <w:r>
        <w:rPr>
          <w:rFonts w:ascii="Cambria" w:hAnsi="Cambria"/>
          <w:sz w:val="20"/>
        </w:rPr>
        <w:t>not_needed</w:t>
      </w:r>
    </w:p>
    <w:p>
      <w:pPr>
        <w:pStyle w:val="ListBullet"/>
      </w:pPr>
      <w:r>
        <w:rPr>
          <w:rFonts w:ascii="Cambria" w:hAnsi="Cambria"/>
          <w:sz w:val="20"/>
        </w:rPr>
        <w:t>synthetic_reference_consulted</w:t>
      </w:r>
    </w:p>
    <w:p>
      <w:pPr>
        <w:pStyle w:val="ListBullet"/>
      </w:pPr>
      <w:r>
        <w:rPr>
          <w:rFonts w:ascii="Cambria" w:hAnsi="Cambria"/>
          <w:sz w:val="20"/>
        </w:rPr>
        <w:t>external_reference_needed</w:t>
      </w:r>
    </w:p>
    <w:p>
      <w:pPr>
        <w:pStyle w:val="ListBullet"/>
      </w:pPr>
      <w:r>
        <w:rPr>
          <w:rFonts w:ascii="Cambria" w:hAnsi="Cambria"/>
          <w:sz w:val="20"/>
        </w:rPr>
        <w:t>not_supported_by_public_corpus</w:t>
      </w:r>
    </w:p>
    <w:p>
      <w:pPr>
        <w:pStyle w:val="Heading2"/>
      </w:pPr>
      <w:r>
        <w:rPr>
          <w:rFonts w:ascii="Cambria" w:hAnsi="Cambria"/>
          <w:sz w:val="28"/>
        </w:rPr>
        <w:t>BUD Boundary</w:t>
      </w:r>
    </w:p>
    <w:p>
      <w:r>
        <w:rPr>
          <w:rFonts w:ascii="Cambria" w:hAnsi="Cambria"/>
          <w:sz w:val="20"/>
        </w:rPr>
        <w:t>The public RAG project should not answer exact formulation-specific BUD questions unless a synthetic SOP or synthetic review summary explicitly contains that information.</w:t>
      </w:r>
    </w:p>
    <w:p>
      <w:pPr>
        <w:pStyle w:val="Heading2"/>
      </w:pPr>
      <w:r>
        <w:rPr>
          <w:rFonts w:ascii="Cambria" w:hAnsi="Cambria"/>
          <w:sz w:val="28"/>
        </w:rPr>
        <w:t>Notes and Limitations</w:t>
      </w:r>
    </w:p>
    <w:p>
      <w:r>
        <w:rPr>
          <w:rFonts w:ascii="Cambria" w:hAnsi="Cambria"/>
          <w:sz w:val="20"/>
        </w:rPr>
        <w:t>The system may identify that an external drug-information review is needed. It should not fabricate adverse-effect claims or imply access to proprietary reference resources.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Code" w:hAnsi="Cascadia Cod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