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sz w:val="36"/>
        </w:rPr>
        <w:t>SOP-006 Customer Outreach and Resolution Review</w:t>
      </w:r>
    </w:p>
    <w:p>
      <w:r>
        <w:rPr>
          <w:rFonts w:ascii="Cambria" w:hAnsi="Cambria"/>
          <w:sz w:val="20"/>
        </w:rPr>
        <w:t xml:space="preserve">Document ID: SOP-006  </w:t>
      </w:r>
    </w:p>
    <w:p>
      <w:r>
        <w:rPr>
          <w:rFonts w:ascii="Cambria" w:hAnsi="Cambria"/>
          <w:sz w:val="20"/>
        </w:rPr>
        <w:t xml:space="preserve">Title: Customer Outreach and Resolution Review  </w:t>
      </w:r>
    </w:p>
    <w:p>
      <w:r>
        <w:rPr>
          <w:rFonts w:ascii="Cambria" w:hAnsi="Cambria"/>
          <w:sz w:val="20"/>
        </w:rPr>
        <w:t xml:space="preserve">Version: 1.1  </w:t>
      </w:r>
    </w:p>
    <w:p>
      <w:r>
        <w:rPr>
          <w:rFonts w:ascii="Cambria" w:hAnsi="Cambria"/>
          <w:sz w:val="20"/>
        </w:rPr>
        <w:t xml:space="preserve">Effective Date: 2026-05-04  </w:t>
      </w:r>
    </w:p>
    <w:p>
      <w:r>
        <w:rPr>
          <w:rFonts w:ascii="Cambria" w:hAnsi="Cambria"/>
          <w:sz w:val="20"/>
        </w:rPr>
        <w:t xml:space="preserve">Process Area: customer outreach  </w:t>
      </w:r>
    </w:p>
    <w:p>
      <w:r>
        <w:rPr>
          <w:rFonts w:ascii="Cambria" w:hAnsi="Cambria"/>
          <w:sz w:val="20"/>
        </w:rPr>
        <w:t xml:space="preserve">Source Type: sop  </w:t>
      </w:r>
    </w:p>
    <w:p>
      <w:r>
        <w:rPr>
          <w:rFonts w:ascii="Cambria" w:hAnsi="Cambria"/>
          <w:sz w:val="20"/>
        </w:rPr>
        <w:t>Synthetic: true</w:t>
      </w:r>
    </w:p>
    <w:p>
      <w:pPr>
        <w:pStyle w:val="Heading2"/>
      </w:pPr>
      <w:r>
        <w:rPr>
          <w:rFonts w:ascii="Cambria" w:hAnsi="Cambria"/>
          <w:sz w:val="28"/>
        </w:rPr>
        <w:t>Purpose</w:t>
      </w:r>
    </w:p>
    <w:p>
      <w:r>
        <w:rPr>
          <w:rFonts w:ascii="Cambria" w:hAnsi="Cambria"/>
          <w:sz w:val="20"/>
        </w:rPr>
        <w:t>Define when customer outreach or resolution review is appropriate in the synthetic workflow.</w:t>
      </w:r>
    </w:p>
    <w:p>
      <w:pPr>
        <w:pStyle w:val="Heading2"/>
      </w:pPr>
      <w:r>
        <w:rPr>
          <w:rFonts w:ascii="Cambria" w:hAnsi="Cambria"/>
          <w:sz w:val="28"/>
        </w:rPr>
        <w:t>Scope</w:t>
      </w:r>
    </w:p>
    <w:p>
      <w:r>
        <w:rPr>
          <w:rFonts w:ascii="Cambria" w:hAnsi="Cambria"/>
          <w:sz w:val="20"/>
        </w:rPr>
        <w:t>This SOP applies to customer reviews, customer-reported concerns, palatability concerns, suspected ADE clarification, product-quality concerns, and cases where information is needed before final handling.</w:t>
      </w:r>
    </w:p>
    <w:p>
      <w:pPr>
        <w:pStyle w:val="Heading2"/>
      </w:pPr>
      <w:r>
        <w:rPr>
          <w:rFonts w:ascii="Cambria" w:hAnsi="Cambria"/>
          <w:sz w:val="28"/>
        </w:rPr>
        <w:t>Review Procedure</w:t>
      </w:r>
    </w:p>
    <w:p>
      <w:pPr>
        <w:pStyle w:val="ListNumber"/>
      </w:pPr>
      <w:r>
        <w:rPr>
          <w:rFonts w:ascii="Cambria" w:hAnsi="Cambria"/>
          <w:sz w:val="20"/>
        </w:rPr>
        <w:t>Determine whether the record is a customer review or a QRE/general-question form submission.</w:t>
      </w:r>
    </w:p>
    <w:p>
      <w:pPr>
        <w:pStyle w:val="ListNumber"/>
      </w:pPr>
      <w:r>
        <w:rPr>
          <w:rFonts w:ascii="Cambria" w:hAnsi="Cambria"/>
          <w:sz w:val="20"/>
        </w:rPr>
        <w:t>For customer reviews, use star rating and review-text presence to decide whether outreach is expected.</w:t>
      </w:r>
    </w:p>
    <w:p>
      <w:pPr>
        <w:pStyle w:val="ListNumber"/>
      </w:pPr>
      <w:r>
        <w:rPr>
          <w:rFonts w:ascii="Cambria" w:hAnsi="Cambria"/>
          <w:sz w:val="20"/>
        </w:rPr>
        <w:t>For QRE/general-question submissions, determine whether the needed information is already available to frontline pharmacists or requires Technical Services follow-up.</w:t>
      </w:r>
    </w:p>
    <w:p>
      <w:pPr>
        <w:pStyle w:val="ListNumber"/>
      </w:pPr>
      <w:r>
        <w:rPr>
          <w:rFonts w:ascii="Cambria" w:hAnsi="Cambria"/>
          <w:sz w:val="20"/>
        </w:rPr>
        <w:t>Separate customer outreach from final handling path.</w:t>
      </w:r>
    </w:p>
    <w:p>
      <w:pPr>
        <w:pStyle w:val="ListNumber"/>
      </w:pPr>
      <w:r>
        <w:rPr>
          <w:rFonts w:ascii="Cambria" w:hAnsi="Cambria"/>
          <w:sz w:val="20"/>
        </w:rPr>
        <w:t>Separate customer-facing resolution options from final handling path.</w:t>
      </w:r>
    </w:p>
    <w:p>
      <w:pPr>
        <w:pStyle w:val="Heading2"/>
      </w:pPr>
      <w:r>
        <w:rPr>
          <w:rFonts w:ascii="Cambria" w:hAnsi="Cambria"/>
          <w:sz w:val="28"/>
        </w:rPr>
        <w:t>Customer Review Rules</w:t>
      </w:r>
    </w:p>
    <w:p>
      <w:r>
        <w:rPr>
          <w:rFonts w:ascii="Cambria" w:hAnsi="Cambria"/>
          <w:sz w:val="20"/>
        </w:rPr>
        <w:t>One- to three-star customer reviews always have a star rating. Review text is optional. If a one- to three-star review has no text, perform record review and document if no quality concern is found. If a one- to three-star review has text, perform record review and consider customer outreach. Four- and five-star reviews do not require routine follow-up unless the text suggests a quality or safety concern.</w:t>
      </w:r>
    </w:p>
    <w:p>
      <w:pPr>
        <w:pStyle w:val="Heading2"/>
      </w:pPr>
      <w:r>
        <w:rPr>
          <w:rFonts w:ascii="Cambria" w:hAnsi="Cambria"/>
          <w:sz w:val="28"/>
        </w:rPr>
        <w:t>Resolution Options</w:t>
      </w:r>
    </w:p>
    <w:p>
      <w:r>
        <w:rPr>
          <w:rFonts w:ascii="Cambria" w:hAnsi="Cambria"/>
          <w:sz w:val="20"/>
        </w:rPr>
        <w:t>Resolution review may include replacement or reship review, refund or concession review, alternate dosage form discussion, counseling or follow-up, leadership-directed resolution, or no customer-facing resolution.</w:t>
      </w:r>
    </w:p>
    <w:p>
      <w:pPr>
        <w:pStyle w:val="Heading2"/>
      </w:pPr>
      <w:r>
        <w:rPr>
          <w:rFonts w:ascii="Cambria" w:hAnsi="Cambria"/>
          <w:sz w:val="28"/>
        </w:rPr>
        <w:t>Frontline Pharmacist Questions</w:t>
      </w:r>
    </w:p>
    <w:p>
      <w:r>
        <w:rPr>
          <w:rFonts w:ascii="Cambria" w:hAnsi="Cambria"/>
          <w:sz w:val="20"/>
        </w:rPr>
        <w:t>Frontline pharmacist questions usually do not require customer outreach unless the pharmacist request includes a customer-reported concern that cannot be answered with available frontline guidance.</w:t>
      </w:r>
    </w:p>
    <w:p>
      <w:pPr>
        <w:pStyle w:val="Heading2"/>
      </w:pPr>
      <w:r>
        <w:rPr>
          <w:rFonts w:ascii="Cambria" w:hAnsi="Cambria"/>
          <w:sz w:val="28"/>
        </w:rPr>
        <w:t>Notes and Limitations</w:t>
      </w:r>
    </w:p>
    <w:p>
      <w:r>
        <w:rPr>
          <w:rFonts w:ascii="Cambria" w:hAnsi="Cambria"/>
          <w:sz w:val="20"/>
        </w:rPr>
        <w:t>The synthetic system may suggest that outreach or resolution review is appropriate. It does not issue refunds, ship replacements, contact customers, or document real calls.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Code" w:hAnsi="Cascadia Cod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