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sz w:val="36"/>
        </w:rPr>
        <w:t>SOP-007 Leadership Escalation and Clinic Contact Criteria</w:t>
      </w:r>
    </w:p>
    <w:p>
      <w:r>
        <w:rPr>
          <w:rFonts w:ascii="Cambria" w:hAnsi="Cambria"/>
          <w:sz w:val="20"/>
        </w:rPr>
        <w:t xml:space="preserve">Document ID: SOP-007  </w:t>
      </w:r>
    </w:p>
    <w:p>
      <w:r>
        <w:rPr>
          <w:rFonts w:ascii="Cambria" w:hAnsi="Cambria"/>
          <w:sz w:val="20"/>
        </w:rPr>
        <w:t xml:space="preserve">Title: Leadership Escalation and Clinic Contact Criteria  </w:t>
      </w:r>
    </w:p>
    <w:p>
      <w:r>
        <w:rPr>
          <w:rFonts w:ascii="Cambria" w:hAnsi="Cambria"/>
          <w:sz w:val="20"/>
        </w:rPr>
        <w:t xml:space="preserve">Version: 1.1  </w:t>
      </w:r>
    </w:p>
    <w:p>
      <w:r>
        <w:rPr>
          <w:rFonts w:ascii="Cambria" w:hAnsi="Cambria"/>
          <w:sz w:val="20"/>
        </w:rPr>
        <w:t xml:space="preserve">Effective Date: 2026-05-04  </w:t>
      </w:r>
    </w:p>
    <w:p>
      <w:r>
        <w:rPr>
          <w:rFonts w:ascii="Cambria" w:hAnsi="Cambria"/>
          <w:sz w:val="20"/>
        </w:rPr>
        <w:t xml:space="preserve">Process Area: leadership escalation  </w:t>
      </w:r>
    </w:p>
    <w:p>
      <w:r>
        <w:rPr>
          <w:rFonts w:ascii="Cambria" w:hAnsi="Cambria"/>
          <w:sz w:val="20"/>
        </w:rPr>
        <w:t xml:space="preserve">Source Type: sop  </w:t>
      </w:r>
    </w:p>
    <w:p>
      <w:r>
        <w:rPr>
          <w:rFonts w:ascii="Cambria" w:hAnsi="Cambria"/>
          <w:sz w:val="20"/>
        </w:rPr>
        <w:t>Synthetic: true</w:t>
      </w:r>
    </w:p>
    <w:p>
      <w:pPr>
        <w:pStyle w:val="Heading2"/>
      </w:pPr>
      <w:r>
        <w:rPr>
          <w:rFonts w:ascii="Cambria" w:hAnsi="Cambria"/>
          <w:sz w:val="28"/>
        </w:rPr>
        <w:t>Purpose</w:t>
      </w:r>
    </w:p>
    <w:p>
      <w:r>
        <w:rPr>
          <w:rFonts w:ascii="Cambria" w:hAnsi="Cambria"/>
          <w:sz w:val="20"/>
        </w:rPr>
        <w:t>Define global escalation triggers and when leadership escalation should occur before routine outreach or resolution.</w:t>
      </w:r>
    </w:p>
    <w:p>
      <w:pPr>
        <w:pStyle w:val="Heading2"/>
      </w:pPr>
      <w:r>
        <w:rPr>
          <w:rFonts w:ascii="Cambria" w:hAnsi="Cambria"/>
          <w:sz w:val="28"/>
        </w:rPr>
        <w:t>Scope</w:t>
      </w:r>
    </w:p>
    <w:p>
      <w:r>
        <w:rPr>
          <w:rFonts w:ascii="Cambria" w:hAnsi="Cambria"/>
          <w:sz w:val="20"/>
        </w:rPr>
        <w:t>This SOP applies to life-threatening, legal, serious ADE, veterinarian-harm allegation, possible contamination, wrong-patient/wrong-medication, and rare regulatory/compliance concerns.</w:t>
      </w:r>
    </w:p>
    <w:p>
      <w:pPr>
        <w:pStyle w:val="Heading2"/>
      </w:pPr>
      <w:r>
        <w:rPr>
          <w:rFonts w:ascii="Cambria" w:hAnsi="Cambria"/>
          <w:sz w:val="28"/>
        </w:rPr>
        <w:t>Escalation Triggers</w:t>
      </w:r>
    </w:p>
    <w:p>
      <w:pPr>
        <w:pStyle w:val="ListBullet"/>
      </w:pPr>
      <w:r>
        <w:rPr>
          <w:rFonts w:ascii="Cambria" w:hAnsi="Cambria"/>
          <w:sz w:val="20"/>
        </w:rPr>
        <w:t>pet_death</w:t>
      </w:r>
    </w:p>
    <w:p>
      <w:pPr>
        <w:pStyle w:val="ListBullet"/>
      </w:pPr>
      <w:r>
        <w:rPr>
          <w:rFonts w:ascii="Cambria" w:hAnsi="Cambria"/>
          <w:sz w:val="20"/>
        </w:rPr>
        <w:t>pet_hospitalization</w:t>
      </w:r>
    </w:p>
    <w:p>
      <w:pPr>
        <w:pStyle w:val="ListBullet"/>
      </w:pPr>
      <w:r>
        <w:rPr>
          <w:rFonts w:ascii="Cambria" w:hAnsi="Cambria"/>
          <w:sz w:val="20"/>
        </w:rPr>
        <w:t>threatened_legal_action</w:t>
      </w:r>
    </w:p>
    <w:p>
      <w:pPr>
        <w:pStyle w:val="ListBullet"/>
      </w:pPr>
      <w:r>
        <w:rPr>
          <w:rFonts w:ascii="Cambria" w:hAnsi="Cambria"/>
          <w:sz w:val="20"/>
        </w:rPr>
        <w:t>veterinarian_alleges_harm_from_compound</w:t>
      </w:r>
    </w:p>
    <w:p>
      <w:pPr>
        <w:pStyle w:val="ListBullet"/>
      </w:pPr>
      <w:r>
        <w:rPr>
          <w:rFonts w:ascii="Cambria" w:hAnsi="Cambria"/>
          <w:sz w:val="20"/>
        </w:rPr>
        <w:t>possible_contamination</w:t>
      </w:r>
    </w:p>
    <w:p>
      <w:pPr>
        <w:pStyle w:val="ListBullet"/>
      </w:pPr>
      <w:r>
        <w:rPr>
          <w:rFonts w:ascii="Cambria" w:hAnsi="Cambria"/>
          <w:sz w:val="20"/>
        </w:rPr>
        <w:t>wrong_patient_or_wrong_medication</w:t>
      </w:r>
    </w:p>
    <w:p>
      <w:pPr>
        <w:pStyle w:val="ListBullet"/>
      </w:pPr>
      <w:r>
        <w:rPr>
          <w:rFonts w:ascii="Cambria" w:hAnsi="Cambria"/>
          <w:sz w:val="20"/>
        </w:rPr>
        <w:t>repeat_issue_same_lot_or_batch_with_conditions</w:t>
      </w:r>
    </w:p>
    <w:p>
      <w:pPr>
        <w:pStyle w:val="ListBullet"/>
      </w:pPr>
      <w:r>
        <w:rPr>
          <w:rFonts w:ascii="Cambria" w:hAnsi="Cambria"/>
          <w:sz w:val="20"/>
        </w:rPr>
        <w:t>rare_regulatory_or_compliance_concern</w:t>
      </w:r>
    </w:p>
    <w:p>
      <w:pPr>
        <w:pStyle w:val="Heading2"/>
      </w:pPr>
      <w:r>
        <w:rPr>
          <w:rFonts w:ascii="Cambria" w:hAnsi="Cambria"/>
          <w:sz w:val="28"/>
        </w:rPr>
        <w:t>Review Procedure</w:t>
      </w:r>
    </w:p>
    <w:p>
      <w:pPr>
        <w:pStyle w:val="ListNumber"/>
      </w:pPr>
      <w:r>
        <w:rPr>
          <w:rFonts w:ascii="Cambria" w:hAnsi="Cambria"/>
          <w:sz w:val="20"/>
        </w:rPr>
        <w:t>Screen the concern narrative for global escalation triggers.</w:t>
      </w:r>
    </w:p>
    <w:p>
      <w:pPr>
        <w:pStyle w:val="ListNumber"/>
      </w:pPr>
      <w:r>
        <w:rPr>
          <w:rFonts w:ascii="Cambria" w:hAnsi="Cambria"/>
          <w:sz w:val="20"/>
        </w:rPr>
        <w:t>If a global escalation trigger is present, assign risk_lane: life_threatening_or_legal unless reviewer evidence supports a different lane.</w:t>
      </w:r>
    </w:p>
    <w:p>
      <w:pPr>
        <w:pStyle w:val="ListNumber"/>
      </w:pPr>
      <w:r>
        <w:rPr>
          <w:rFonts w:ascii="Cambria" w:hAnsi="Cambria"/>
          <w:sz w:val="20"/>
        </w:rPr>
        <w:t>Use handling_path: leadership_escalation_before_resolution when leadership review should occur before routine outreach or resolution.</w:t>
      </w:r>
    </w:p>
    <w:p>
      <w:pPr>
        <w:pStyle w:val="ListNumber"/>
      </w:pPr>
      <w:r>
        <w:rPr>
          <w:rFonts w:ascii="Cambria" w:hAnsi="Cambria"/>
          <w:sz w:val="20"/>
        </w:rPr>
        <w:t>Consider clinic or veterinarian contact when the synthetic narrative includes veterinarian allegation of harm or clinical details requiring clarification.</w:t>
      </w:r>
    </w:p>
    <w:p>
      <w:pPr>
        <w:pStyle w:val="ListNumber"/>
      </w:pPr>
      <w:r>
        <w:rPr>
          <w:rFonts w:ascii="Cambria" w:hAnsi="Cambria"/>
          <w:sz w:val="20"/>
        </w:rPr>
        <w:t>Do not delay escalation solely because record review is incomplete.</w:t>
      </w:r>
    </w:p>
    <w:p>
      <w:pPr>
        <w:pStyle w:val="Heading2"/>
      </w:pPr>
      <w:r>
        <w:rPr>
          <w:rFonts w:ascii="Cambria" w:hAnsi="Cambria"/>
          <w:sz w:val="28"/>
        </w:rPr>
        <w:t>Notes and Limitations</w:t>
      </w:r>
    </w:p>
    <w:p>
      <w:r>
        <w:rPr>
          <w:rFonts w:ascii="Cambria" w:hAnsi="Cambria"/>
          <w:sz w:val="20"/>
        </w:rPr>
        <w:t>This SOP does not define legal reporting obligations. It defines synthetic workflow escalation behavior for an evidence-assistant project.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