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sz w:val="36"/>
        </w:rPr>
        <w:t>SOP-008 Trend and Pattern Monitoring Rules</w:t>
      </w:r>
    </w:p>
    <w:p>
      <w:r>
        <w:rPr>
          <w:rFonts w:ascii="Cambria" w:hAnsi="Cambria"/>
          <w:sz w:val="20"/>
        </w:rPr>
        <w:t xml:space="preserve">Document ID: SOP-008  </w:t>
      </w:r>
    </w:p>
    <w:p>
      <w:r>
        <w:rPr>
          <w:rFonts w:ascii="Cambria" w:hAnsi="Cambria"/>
          <w:sz w:val="20"/>
        </w:rPr>
        <w:t xml:space="preserve">Title: Trend and Pattern Monitoring Rules  </w:t>
      </w:r>
    </w:p>
    <w:p>
      <w:r>
        <w:rPr>
          <w:rFonts w:ascii="Cambria" w:hAnsi="Cambria"/>
          <w:sz w:val="20"/>
        </w:rPr>
        <w:t xml:space="preserve">Version: 1.1  </w:t>
      </w:r>
    </w:p>
    <w:p>
      <w:r>
        <w:rPr>
          <w:rFonts w:ascii="Cambria" w:hAnsi="Cambria"/>
          <w:sz w:val="20"/>
        </w:rPr>
        <w:t xml:space="preserve">Effective Date: 2026-05-04  </w:t>
      </w:r>
    </w:p>
    <w:p>
      <w:r>
        <w:rPr>
          <w:rFonts w:ascii="Cambria" w:hAnsi="Cambria"/>
          <w:sz w:val="20"/>
        </w:rPr>
        <w:t xml:space="preserve">Process Area: trend monitoring  </w:t>
      </w:r>
    </w:p>
    <w:p>
      <w:r>
        <w:rPr>
          <w:rFonts w:ascii="Cambria" w:hAnsi="Cambria"/>
          <w:sz w:val="20"/>
        </w:rPr>
        <w:t xml:space="preserve">Source Type: sop  </w:t>
      </w:r>
    </w:p>
    <w:p>
      <w:r>
        <w:rPr>
          <w:rFonts w:ascii="Cambria" w:hAnsi="Cambria"/>
          <w:sz w:val="20"/>
        </w:rPr>
        <w:t>Synthetic: true</w:t>
      </w:r>
    </w:p>
    <w:p>
      <w:pPr>
        <w:pStyle w:val="Heading2"/>
      </w:pPr>
      <w:r>
        <w:rPr>
          <w:rFonts w:ascii="Cambria" w:hAnsi="Cambria"/>
          <w:sz w:val="28"/>
        </w:rPr>
        <w:t>Purpose</w:t>
      </w:r>
    </w:p>
    <w:p>
      <w:r>
        <w:rPr>
          <w:rFonts w:ascii="Cambria" w:hAnsi="Cambria"/>
          <w:sz w:val="20"/>
        </w:rPr>
        <w:t>Define how the synthetic workflow models trend and pattern monitoring without overclaiming access to complete operational systems.</w:t>
      </w:r>
    </w:p>
    <w:p>
      <w:pPr>
        <w:pStyle w:val="Heading2"/>
      </w:pPr>
      <w:r>
        <w:rPr>
          <w:rFonts w:ascii="Cambria" w:hAnsi="Cambria"/>
          <w:sz w:val="28"/>
        </w:rPr>
        <w:t>Scope</w:t>
      </w:r>
    </w:p>
    <w:p>
      <w:r>
        <w:rPr>
          <w:rFonts w:ascii="Cambria" w:hAnsi="Cambria"/>
          <w:sz w:val="20"/>
        </w:rPr>
        <w:t>This SOP applies to repeated concerns involving similar medication placeholders, dosage forms, concern types, batch/lot context, and customer-review patterns.</w:t>
      </w:r>
    </w:p>
    <w:p>
      <w:pPr>
        <w:pStyle w:val="Heading2"/>
      </w:pPr>
      <w:r>
        <w:rPr>
          <w:rFonts w:ascii="Cambria" w:hAnsi="Cambria"/>
          <w:sz w:val="28"/>
        </w:rPr>
        <w:t>Review Procedure</w:t>
      </w:r>
    </w:p>
    <w:p>
      <w:pPr>
        <w:pStyle w:val="ListNumber"/>
      </w:pPr>
      <w:r>
        <w:rPr>
          <w:rFonts w:ascii="Cambria" w:hAnsi="Cambria"/>
          <w:sz w:val="20"/>
        </w:rPr>
        <w:t>Determine whether trend review is required for the record.</w:t>
      </w:r>
    </w:p>
    <w:p>
      <w:pPr>
        <w:pStyle w:val="ListNumber"/>
      </w:pPr>
      <w:r>
        <w:rPr>
          <w:rFonts w:ascii="Cambria" w:hAnsi="Cambria"/>
          <w:sz w:val="20"/>
        </w:rPr>
        <w:t>If trend review is required, use only fields available in synthetic inquiry records or synthetic review summaries.</w:t>
      </w:r>
    </w:p>
    <w:p>
      <w:pPr>
        <w:pStyle w:val="ListNumber"/>
      </w:pPr>
      <w:r>
        <w:rPr>
          <w:rFonts w:ascii="Cambria" w:hAnsi="Cambria"/>
          <w:sz w:val="20"/>
        </w:rPr>
        <w:t>Do not claim complete API-level trend detection unless the synthetic corpus explicitly supports it.</w:t>
      </w:r>
    </w:p>
    <w:p>
      <w:pPr>
        <w:pStyle w:val="ListNumber"/>
      </w:pPr>
      <w:r>
        <w:rPr>
          <w:rFonts w:ascii="Cambria" w:hAnsi="Cambria"/>
          <w:sz w:val="20"/>
        </w:rPr>
        <w:t>Treat trend monitoring as a flag or review finding, not as a final handling path.</w:t>
      </w:r>
    </w:p>
    <w:p>
      <w:pPr>
        <w:pStyle w:val="ListNumber"/>
      </w:pPr>
      <w:r>
        <w:rPr>
          <w:rFonts w:ascii="Cambria" w:hAnsi="Cambria"/>
          <w:sz w:val="20"/>
        </w:rPr>
        <w:t>Escalation triggers override trend-only handling.</w:t>
      </w:r>
    </w:p>
    <w:p>
      <w:pPr>
        <w:pStyle w:val="Heading2"/>
      </w:pPr>
      <w:r>
        <w:rPr>
          <w:rFonts w:ascii="Cambria" w:hAnsi="Cambria"/>
          <w:sz w:val="28"/>
        </w:rPr>
        <w:t>Synthetic Trend Thresholds</w:t>
      </w:r>
    </w:p>
    <w:p>
      <w:pPr>
        <w:pStyle w:val="ListBullet"/>
      </w:pPr>
      <w:r>
        <w:rPr>
          <w:rFonts w:ascii="Cambria" w:hAnsi="Cambria"/>
          <w:sz w:val="20"/>
        </w:rPr>
        <w:t>Three similar concerns within 30 days using medication placeholder, dosage form, and concern type.</w:t>
      </w:r>
    </w:p>
    <w:p>
      <w:pPr>
        <w:pStyle w:val="ListBullet"/>
      </w:pPr>
      <w:r>
        <w:rPr>
          <w:rFonts w:ascii="Cambria" w:hAnsi="Cambria"/>
          <w:sz w:val="20"/>
        </w:rPr>
        <w:t>Five similar concerns within 90 days using medication placeholder, dosage form, and concern type.</w:t>
      </w:r>
    </w:p>
    <w:p>
      <w:pPr>
        <w:pStyle w:val="ListBullet"/>
      </w:pPr>
      <w:r>
        <w:rPr>
          <w:rFonts w:ascii="Cambria" w:hAnsi="Cambria"/>
          <w:sz w:val="20"/>
        </w:rPr>
        <w:t>Two serious concerns tied to the same lot or batch.</w:t>
      </w:r>
    </w:p>
    <w:p>
      <w:pPr>
        <w:pStyle w:val="Heading2"/>
      </w:pPr>
      <w:r>
        <w:rPr>
          <w:rFonts w:ascii="Cambria" w:hAnsi="Cambria"/>
          <w:sz w:val="28"/>
        </w:rPr>
        <w:t>Frontline Pharmacist Question Trend Tracking</w:t>
      </w:r>
    </w:p>
    <w:p>
      <w:r>
        <w:rPr>
          <w:rFonts w:ascii="Cambria" w:hAnsi="Cambria"/>
          <w:sz w:val="20"/>
        </w:rPr>
        <w:t>Frontline pharmacist questions may be tracked for operational volume and support trends. This does not mean they require full quality review. Use submitter_role, submission_purpose, and review_scope to count these records separately from customer-reported concerns.</w:t>
      </w:r>
    </w:p>
    <w:p>
      <w:pPr>
        <w:pStyle w:val="Heading2"/>
      </w:pPr>
      <w:r>
        <w:rPr>
          <w:rFonts w:ascii="Cambria" w:hAnsi="Cambria"/>
          <w:sz w:val="28"/>
        </w:rPr>
        <w:t>Notes and Limitations</w:t>
      </w:r>
    </w:p>
    <w:p>
      <w:r>
        <w:rPr>
          <w:rFonts w:ascii="Cambria" w:hAnsi="Cambria"/>
          <w:sz w:val="20"/>
        </w:rPr>
        <w:t>Synthetic trend review is intentionally limited. It is designed to test retrieval, metadata filtering, and failure analysis, not to represent full production analytics.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Code" w:hAnsi="Cascadia Cod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