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Snacktorio 產線規劃核心邏輯規範手冊 (AI 學習與推導規範)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關聯試算表：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Snacktorio 遊戲資料庫與生產規劃表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系統定位與職責分工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本手冊負責定義《Snacktorio》產線設計之「核心邏輯、物理原則與計算架構」，作為 AI 與工程師推導產線配置的最高準則。具體設備數值、週期時間、加工食譜、速率參數與電力消耗數字，一律參閱關聯之《遊戲資料庫試算表》，確保計算基準之唯一性與權威性。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物流與空間運作原理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固體物品物流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離散單位與速率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：以「個」為離散單位，在傳送帶中之行進速度恆定為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格/秒 (1 tile/s)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。此常數為計算發酵所需管線長度、緩衝距離與腐壞時序之唯一物理基準。需特別注意食材計時僅在傳送帶流通時計算，機內暫存不跳計時。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吞吐量特性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：傳送帶吞吐量無上限，但受分流器或機器輸出口之整除約束。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分流機制差異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機器自帶輸出口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：開啟複數輸出口時，物料將被「嚴格均等整除」（例如 1:1 或 1:1:1），無法自訂比例。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專用分流器 (Splitter)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：具備調節功能，若產線需非均等配比（如 2:1），必須使用專用分流器。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2D 空間與立體走線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地形與高度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：產線佈設需考量垂直維度，利用梯子、腳手架、單向平台進行立體走線，並繞行合金壁與虛空地形。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終端出餐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：成品必須藉由送餐大炮（投食器/發射機）直接發射送至目標怪獸口中。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電力與液體系統原理 (Power &amp; Fluid Networks)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即時連續流量系統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：電力單位為 FV/s（功率流率），液體單位為 fl/s（Fluid 流率）。兩者均屬即時連續系統。常規轉化設備（如煮鍋、油炸鍋、自動廚師機）之流體消耗量恆定為 </w:t>
      </w:r>
      <w:r w:rsidDel="00000000" w:rsidR="00000000" w:rsidRPr="00000000">
        <w:rPr>
          <w:b w:val="1"/>
          <w:bCs w:val="1"/>
          <w:rtl w:val="0"/>
        </w:rPr>
        <w:t xml:space="preserve">1.0 fl/s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（即 5 秒週期消耗 5 fl）；唯【混合機 (Mixer)】為特殊例外，其週期為 4 秒且僅消耗 2 fl（即持續流率為 </w:t>
      </w:r>
      <w:r w:rsidDel="00000000" w:rsidR="00000000" w:rsidRPr="00000000">
        <w:rPr>
          <w:b w:val="1"/>
          <w:bCs w:val="1"/>
          <w:rtl w:val="0"/>
        </w:rPr>
        <w:t xml:space="preserve">0.5 fl/s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機器無抽液上限與強制均分定律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連通的液體管網中，所有連接之需液設備「均無抽液上限」，無法依靠設備額定加工流率來限制其進液速度。管網內的所有可用流體將會被連通的下游設備「絕對均等平分」。這意味著即使某些機器加工消耗較少（如混合機 0.5 fl/s），在未裝滿前依然會抽走平分到的全額流量，導致同管網內高需液設備（如發酵罐 1.0 fl/s）被均分稀釋而產生嚴重欠液。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供需即時平衡與設備內建儲液機制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：電力系統無蓄電機制，電網採即時平衡；而液體系統中，每台需要液體的設備本身均配有 500 fl 的內部儲量（內建儲液槽），可作為週期性耗液與管道流量波動的動態緩衝。當供給端平均流率 ≥ 消費端平均需量時，設備內部儲液槽將逐步充盈，即使管網瞬時供液分配不均，亦能依靠機內儲量維持額定產能平穩運轉，不會因瞬時欠壓而立即停工。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網路規劃與泵機配置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：相鄰機器可自動共享電力與液體。液體系統需依公式配置：所需泵機數量 = ⌈ (∑ 各機器液體需求 fl/s × 數量) / 單台泵機供液速率 fl/s ⌉。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虛空熔爐雙模發電與自耗閉環常數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發電熔爐雙模切換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：具備「一級常規 (4 FV/s)」與「二級超頻 (16 FV/s)」雙模。常規模式燃燒煤炭（0.1 個/秒）發電 4 FV/s，淨發電 3.5 FV/s。超頻模式每 10 秒多消耗 1 個虛空汙泥（0.1 個/秒），發電量提升至 16 FV/s。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2:1:1 發電模組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 台虛空熔爐配置 1 台採煤機（供煤 0.2 個/秒，耗電 1 FV/s）與 1 台供汙泥物質操縱機（供汙泥 0.2 個/秒，耗電 1 FV/s，消耗虛空 1.0 fl/s），扣除自耗後單台等效淨發電能力達 15.0 FV/s。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空載凝結機制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：物質操縱機產出虛空汙泥為「空載凝結」機制，無須任何作物底料，故發電操機不需配置底料收割機。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流體即時連續系統與 BOM 食材庫穩態等價原理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：在產線連續運轉的穩態平衡下，由 BOM 食材庫依出餐速率比例放大計算所得之外採流體需量（fl/s），與產線各實體設備每秒實際抽取總流量在物理數值上嚴格等價，兩者互為驗算依據。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流體設備基準產能換算原則與專線佈線鐵律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基準產能物理定義 (Dishes/s)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：單台攪拌機產出為 1.0 fl/s 持續流體。在計算機系統中，其單台基準速率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統一定義為「單台設備每秒可支援產出之料理份數 (Dishes/s)」，與全庫固體設備量綱完全一致。</w:t>
      </w:r>
    </w:p>
    <w:p w:rsidR="00000000" w:rsidDel="00000000" w:rsidP="00000000" w:rsidRDefault="00000000" w:rsidRPr="00000000" w14:paraId="0000001B">
      <w:pPr>
        <w:numPr>
          <w:ilvl w:val="2"/>
          <w:numId w:val="9"/>
        </w:numPr>
        <w:ind w:left="1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常規單路醬汁（如塔瑪茄醬、青醬、白醬，單線需 1.0 fl/s）：在出餐速率 0.2 份/秒下每份料理消耗 5.0 fl 流體，故單台基準速率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= 1.0 / 5.0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0.20 份/秒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numPr>
          <w:ilvl w:val="2"/>
          <w:numId w:val="9"/>
        </w:numPr>
        <w:ind w:left="1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雙路/多路專線流體：當單一醬汁同時供應多個不同工序端時，單台基準速率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1.0 / (單份實質消耗流體總量 fl) = Dishes/s。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專線佈線鐵律（防混流/防死鎖）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：當計算機單行化輸出實需台數為 2 台或多台時，在遊戲實體佈線中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嚴禁將多台攪拌機出口合流為單管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，必須鋪設相應數量的獨立 1:1 專用管道分別通往各需求端（例如 1 台專線通往白醬攪拌機，1 台專線通往發酵罐），以嚴格捍衛流體即時連續流量守恆與管網穩定。正因為管網只能均等平分且機器無抽液上限，在實體產線規劃中嚴禁將不同流率需求、不同工序的設備併入同一條未經 1:1 配對的共用管網；必須嚴格實施【1:1 獨立專線直連】或依整數倍對等分流，確保每一台設備獲得的流率精確等於其額定需求。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機構分類架構與運作規範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固定資本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：打工小妖精屬於建造材料（Capital Cost），佔地 1x1，非運轉消耗品。部分高級機器需消耗「發酵好的小妖精」進行建造。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設備分類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：所有機器佔地均為 1x1，依功能分為「必備物流」、「收割採集」、「轉化烹調（含粉碎、攪拌、發酵、油炸、注入、烤製、煮沸、物質操縱機等）」與「組裝終端」。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自動廚師機組裝配比鐵律與物理極限輸入邊界：自動廚師機單道料理之輸入端，物理極限恆為「最多 4 種固體食材（其各項配比恆為 1:1:1:1，即單次加工固定各消耗 1 個）」與「最多 1 種持續液體（流率固定為 1 fl/s，或無液體）」。此為遊戲終端組裝之最大上限，絕不會出現 5 種固體或 2 種以上終端組裝液體（若料理製程涉及其他液體，必定屬於中間加工設備如油炸鍋、煮鍋或混合機之需求）。該邊界亦確立了《食譜》分頁 17 欄位架構即為終端資料庫之最終固定標準，為計算終端出餐與前置原料配比的重要基準。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物質操縱機等價轉換與虛空汙泥循環機制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等價交換原則：核心為「質量重構」。需同時輸入持續虛空流體 (1 fl/s) 與「任意 1 個固體物品」，將其轉換為指定異界目標產物（如史萊姆、骨骸、蛋、蟑螂等）。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空載凝結機制（虛空汙泥）：虛空汙泥屬固體物品。當物質操縱機通電通虛空但未設目標或缺料空載時，純虛空流體會自行凝結產出虛空汙泥。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虛空流體閉環超頻循環：產出的虛空汙泥可作為固體催化劑送回虛空泵機（每 5 秒消耗 1 個，即 0.2 個/秒），將泵機基礎流率由 2 fl/s 提升至 8 fl/s，達成流體倍增工業循環。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機器運作狀態之視覺辨識準則 (Visual Status Indicators)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中央圖案顏色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：運作中 (Active) 呈現亮黃色；待機中 (Idle) 呈現黑色/暗灰色。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懸浮警報圖示 (Alert Icons)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：缺料/缺少食材顯示「白色對話框帶紅色驚嘆號 (!)」；缺電/斷電顯示「紅色旗幟/方塊帶閃電符號 (⚡)」。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虛空泵機超頻效率決策準則與邊際效益分析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：泵機超頻本質上是一場「以額外的流體自耗與物流複雜度，換取節點空間與高流量能耗」的工程權衡。評估超頻是否具備「效率」，必須依循以下原則：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注入機環境原位轉化機制與衍生流體抽取鐵律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分類定錨為轉化機器（電力 1 FV/s，妖精 2 個）。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運作機制：直接放置於環境液體（如油池）中，輸送帶每 5 秒輸入 1 個辛香料（0.2 個/秒），將相連的整個液體池原位轉化為目標衍生流體（如炙烈紅油）。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衍生流體抽取鐵律：轉化後之流體池必須在工序中明確配置「虛空泵機」進行抽取輸送（如「抽取炙烈紅油」單台基準速率 =4/15 份/秒），電力 1 FV/s，妖精 1 個，嚴禁漏算泵機能耗與建造妖精。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資源代價對照：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ind w:left="1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一級常規泵機（Tier-1）：供液 2 fl/s，耗電 1 FV/s，妖精 1 個，零虛空消耗、零汙泥輸送帶，即插即用。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1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二級超頻泵機組（Tier-2）：供液 8 fl/s，耗電 2 FV/s（泵機 1 + 供汙泥物質操縱機 1），妖精 2 個，每秒消耗 0.2 個虛空汙泥，且物質操縱機自身持續消耗 1 fl/s 虛空。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流量階梯臨界點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1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當需求量 ≤ 2 fl/s：常規泵完勝，絕不超頻（超頻多付 1 倍電與妖精，且白耗虛空）。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1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當需求量 2 &lt; L ≤ 4 fl/s：戰術持平期。電量與妖精相同（皆為 2 FV/s、2 妖精），常規勝在免虛空免汙泥，超頻勝在節省 1 格液體節點。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1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當需求量 4 &lt; L ≤ 8 fl/s：超頻效率全面勝出，可節省 1~2 FV/s 電力與 1~2 個打工小妖精。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抽「虛空」與抽「水/油」之本質差異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1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抽虛空：供汙泥物質操縱機自耗 1 fl/s 虛空，淨產出為 7 fl/s。投入 2 FV/s 換 7 fl/s（效率 3.5 fl/s/FV，優於常規的 2.0），需量 ≥ 3 fl/s 即為淨賺。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1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抽水/抽油：物質操縱機消耗跨流體的 1 fl/s 虛空。若全廠已有虛空管網，超頻邊際成本極低；若全廠本無虛空產線，為水泵超頻需額外建造整套虛空泵機與物質操縱機，水需求 ≤ 6 fl/s 時採用常規水泵更省電省料。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超頻成為有效率決定的四大情境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ind w:left="1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地圖節點空間極限（液體格子只有 1~2 格無法容納多台泵機）。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ind w:left="1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單一液體需量 &gt; 4 fl/s（高出餐速率之規模效應）。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ind w:left="1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全廠已有成熟虛空管網（可就近借道引流）。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ind w:left="1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小妖精資本極度匱乏（前期需省妖精投資高階廚師機）。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 食材物理與生化反應法則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非線性腐壞與計時觸發條件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：食材過期後將轉化為次級或衍生食材（如蛇蛋放置 30 秒腐壞為臭蛇蛋、軟質奶酪放置 20 秒熟成為中等熟成奶酪）。【核心計時機制】：食材在機器內部（如產出槽、暫存槽）停留時「不會跳計時/不會推進腐壞與熟成時間」，僅有當食材被輸出至傳送帶或管道中流通時，其腐壞/熟成計時器才會正式啟動。因此產線可利用分撿機節奏取料或機內暫存，精確控制物流滯留時間，徹底規避食材在傳送過程中突變變質的風險。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時序發酵緩衝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：麵團類食材需提供緩衝空間進行發酵（緩衝管道長度 = 需發酵秒數 × 1 格/秒）。例如麵包麵團需發酵 15 秒，則需 15 格傳送帶緩衝。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隔離原則：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凝固防堵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：乳製品遇熱或辛辣物質會凝固堵管，管線必須實體隔離。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過敏原防護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：堅果與香料（如豆肉蔻）具高污染性，需設置獨立專線防止交叉污染。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鄰近感染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：具感染性或刺鼻氣味食材應維持單一獨立線路。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衛生與特殊機制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：生熟食需經加熱製程預防中毒。後期引入虛空動力、液體浸泡與油炸烹調等進階系統。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多倍產出中間品與開採鹽折算規範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：詳細記錄中等熟成奶酪經研磨機磨成 2 個芝士碎，單份料理消耗 0.5 奶酪（0.1 鹽）。包含薯條 (1.0 鹽) 與芝士碎之料理，單份鹽消耗為 1.1 個，開採鹽基準速率嚴格依分數公式 =2/11 登記，確保多料理並聯排程時能自動去重節省採掘機。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新增克洛文納高階料理生化與物流特性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：收錄撒旦紅燴飯、幽靈肉汁奶酪薯條、痛擊漢堡、刺菠蘿披薩、混亂日式炒飯、殺手薄餅等 6 道料理之時序熟成/發酵緩衝長度、刺菠蘿與小蒜之氣味刺鼻隔離、以及臭蛇蛋 30 秒腐壞機制。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斯科瓦拉 (Scovilla) 島嶼食材與料理生化特性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收錄爆烈雞肉飯之終端規格（打工小妖炒飯、生鷹身女妖肉、菠菜、辛辣沙沙醬，通入炙烈紅油 1.0 fl/s）。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生鷹身女妖肉：鷹身女妖翅膀（物質操縱機重構）須先經擠出機剝皮成型，具食物中毒屬性。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辛辣沙沙醬：由洋蔥蔥、塔瑪茄與炙烈紅油於混合機混和雙倍產出（4 秒 2 個）。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外採流體閉環：油 3FL（油炸鍋 1.0 fl/s + 油池轉化紅油 2.0 fl/s = 3.0 fl/s）、虛空 1FL（物質操縱機 1.0 fl/s）。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 關卡制循序點餐與模組化工程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面對怪獸的分階段循序點餐 (Multi-Course Orders)，設計產線時必須預留擴展介面，採模組化佈局。出餐需嚴格遵循怪獸的口味偏好與禁忌（如抗辣、過敏限制），避免技術債導致整廠翻新。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 AI 產線計算標準推導流程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目標速率轉換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：將「每分鐘產出 N 個」轉換為「個/秒」，並檢索對應之基礎速率、電力負荷（FV/s）與液體流量（fl/s）。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雙軌制遞歸推導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軌道 A（固體材料鏈）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：依食譜件數推導機器台數與整數比，確保零停機、零溢流。</w:t>
      </w:r>
    </w:p>
    <w:p w:rsidR="00000000" w:rsidDel="00000000" w:rsidP="00000000" w:rsidRDefault="00000000" w:rsidRPr="00000000" w14:paraId="0000005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軌道 B（流體與電力網絡）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：加總全線所需之持續負載功率 (FV/s) 與各類液體持續流量 (fl/s)，推導出所需之發電熔爐數與各類泵機數（含虛空汙泥等超頻燃料消耗）。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遞歸回溯推導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：計算各層原料需求量，給出「零停機、零溢流」之整數機器比。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物理與生化檢核：計算所需緩衝管道格數，並檢驗是否有過敏原或乳製品凝固之隔離風險。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電網配置：加總全線持續負載功率 (FV/s)，計算所需熔爐與煤炭速率。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/>
    </w:lvl>
    <w:lvl w:ilvl="1">
      <w:start w:val="1"/>
      <w:numFmt w:val="bullet"/>
      <w:lvlText w:val="○"/>
      <w:lvlJc w:val="left"/>
      <w:pPr>
        <w:ind w:left="1200" w:hanging="360"/>
      </w:pPr>
      <w:rPr/>
    </w:lvl>
    <w:lvl w:ilvl="2">
      <w:start w:val="1"/>
      <w:numFmt w:val="bullet"/>
      <w:lvlText w:val="-"/>
      <w:lvlJc w:val="left"/>
      <w:pPr>
        <w:ind w:left="192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/>
    </w:lvl>
    <w:lvl w:ilvl="1">
      <w:start w:val="1"/>
      <w:numFmt w:val="bullet"/>
      <w:lvlText w:val="○"/>
      <w:lvlJc w:val="left"/>
      <w:pPr>
        <w:ind w:left="1200" w:hanging="360"/>
      </w:pPr>
      <w:rPr/>
    </w:lvl>
    <w:lvl w:ilvl="2">
      <w:start w:val="1"/>
      <w:numFmt w:val="bullet"/>
      <w:lvlText w:val="-"/>
      <w:lvlJc w:val="left"/>
      <w:pPr>
        <w:ind w:left="192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/>
    </w:lvl>
    <w:lvl w:ilvl="1">
      <w:start w:val="1"/>
      <w:numFmt w:val="bullet"/>
      <w:lvlText w:val="○"/>
      <w:lvlJc w:val="left"/>
      <w:pPr>
        <w:ind w:left="1200" w:hanging="360"/>
      </w:pPr>
      <w:rPr/>
    </w:lvl>
    <w:lvl w:ilvl="2">
      <w:start w:val="1"/>
      <w:numFmt w:val="bullet"/>
      <w:lvlText w:val="-"/>
      <w:lvlJc w:val="left"/>
      <w:pPr>
        <w:ind w:left="192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/>
    </w:lvl>
    <w:lvl w:ilvl="1">
      <w:start w:val="1"/>
      <w:numFmt w:val="bullet"/>
      <w:lvlText w:val="○"/>
      <w:lvlJc w:val="left"/>
      <w:pPr>
        <w:ind w:left="1200" w:hanging="360"/>
      </w:pPr>
      <w:rPr/>
    </w:lvl>
    <w:lvl w:ilvl="2">
      <w:start w:val="1"/>
      <w:numFmt w:val="bullet"/>
      <w:lvlText w:val="-"/>
      <w:lvlJc w:val="left"/>
      <w:pPr>
        <w:ind w:left="192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CVDxk2CzRDq0cpyiJ9P6o_dX3yAuDcRgnjvjusq9vtc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