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CE580" w14:textId="77777777" w:rsidR="003822E1" w:rsidRPr="005E6897" w:rsidRDefault="0020433E" w:rsidP="00C2550E">
      <w:pPr>
        <w:spacing w:line="360" w:lineRule="auto"/>
        <w:rPr>
          <w:rFonts w:ascii="宋体" w:eastAsia="宋体" w:hAnsi="宋体" w:cs="Arial"/>
          <w:b/>
          <w:sz w:val="24"/>
          <w:szCs w:val="24"/>
        </w:rPr>
      </w:pPr>
      <w:bookmarkStart w:id="0" w:name="_Hlk135484070"/>
      <w:bookmarkEnd w:id="0"/>
      <w:r w:rsidRPr="005E6897">
        <w:rPr>
          <w:rFonts w:ascii="宋体" w:eastAsia="宋体" w:hAnsi="宋体" w:cs="Arial" w:hint="eastAsia"/>
          <w:b/>
          <w:sz w:val="24"/>
          <w:szCs w:val="24"/>
        </w:rPr>
        <w:t>标题：</w:t>
      </w:r>
      <w:r w:rsidR="003822E1" w:rsidRPr="005E6897">
        <w:rPr>
          <w:rFonts w:ascii="宋体" w:eastAsia="宋体" w:hAnsi="宋体" w:cs="Arial" w:hint="eastAsia"/>
          <w:b/>
          <w:sz w:val="24"/>
          <w:szCs w:val="24"/>
        </w:rPr>
        <w:t>带你了解一类稳健权益产品——红利基金</w:t>
      </w:r>
    </w:p>
    <w:p w14:paraId="7D9AFD05" w14:textId="6087B7E9" w:rsidR="003822E1" w:rsidRPr="005E6897" w:rsidRDefault="003C3FE1" w:rsidP="00C2550E">
      <w:pPr>
        <w:spacing w:line="360" w:lineRule="auto"/>
        <w:rPr>
          <w:rFonts w:ascii="宋体" w:eastAsia="宋体" w:hAnsi="宋体"/>
          <w:sz w:val="24"/>
          <w:szCs w:val="24"/>
        </w:rPr>
      </w:pPr>
      <w:r>
        <w:rPr>
          <w:rFonts w:ascii="宋体" w:eastAsia="宋体" w:hAnsi="宋体" w:hint="eastAsia"/>
          <w:sz w:val="24"/>
          <w:szCs w:val="24"/>
        </w:rPr>
        <w:t>摘要：</w:t>
      </w:r>
      <w:r w:rsidR="003822E1" w:rsidRPr="005E6897">
        <w:rPr>
          <w:rFonts w:ascii="宋体" w:eastAsia="宋体" w:hAnsi="宋体" w:hint="eastAsia"/>
          <w:sz w:val="24"/>
          <w:szCs w:val="24"/>
        </w:rPr>
        <w:t>今年以来，除了</w:t>
      </w:r>
      <w:r w:rsidR="003822E1" w:rsidRPr="005E6897">
        <w:rPr>
          <w:rFonts w:ascii="宋体" w:eastAsia="宋体" w:hAnsi="宋体"/>
          <w:sz w:val="24"/>
          <w:szCs w:val="24"/>
        </w:rPr>
        <w:t>TMT基金外，还有一类基金</w:t>
      </w:r>
      <w:r w:rsidR="00042152">
        <w:rPr>
          <w:rFonts w:ascii="宋体" w:eastAsia="宋体" w:hAnsi="宋体" w:hint="eastAsia"/>
          <w:sz w:val="24"/>
          <w:szCs w:val="24"/>
        </w:rPr>
        <w:t>的</w:t>
      </w:r>
      <w:r w:rsidR="003822E1" w:rsidRPr="005E6897">
        <w:rPr>
          <w:rFonts w:ascii="宋体" w:eastAsia="宋体" w:hAnsi="宋体"/>
          <w:sz w:val="24"/>
          <w:szCs w:val="24"/>
        </w:rPr>
        <w:t>收益值得关注，</w:t>
      </w:r>
      <w:r w:rsidR="0020433E" w:rsidRPr="005E6897">
        <w:rPr>
          <w:rFonts w:ascii="宋体" w:eastAsia="宋体" w:hAnsi="宋体" w:hint="eastAsia"/>
          <w:sz w:val="24"/>
          <w:szCs w:val="24"/>
        </w:rPr>
        <w:t>即</w:t>
      </w:r>
      <w:r w:rsidR="003822E1" w:rsidRPr="005E6897">
        <w:rPr>
          <w:rFonts w:ascii="宋体" w:eastAsia="宋体" w:hAnsi="宋体" w:hint="eastAsia"/>
          <w:sz w:val="24"/>
          <w:szCs w:val="24"/>
        </w:rPr>
        <w:t>红利基金</w:t>
      </w:r>
      <w:r w:rsidR="00636FE2">
        <w:rPr>
          <w:rFonts w:ascii="宋体" w:eastAsia="宋体" w:hAnsi="宋体" w:hint="eastAsia"/>
          <w:sz w:val="24"/>
          <w:szCs w:val="24"/>
        </w:rPr>
        <w:t>，本文将全方位对红利基金进行介绍。</w:t>
      </w:r>
    </w:p>
    <w:p w14:paraId="3DE9AF03" w14:textId="77777777" w:rsidR="003822E1" w:rsidRPr="005E6897" w:rsidRDefault="003822E1" w:rsidP="00C2550E">
      <w:pPr>
        <w:spacing w:line="360" w:lineRule="auto"/>
        <w:rPr>
          <w:rFonts w:ascii="宋体" w:eastAsia="宋体" w:hAnsi="宋体"/>
          <w:sz w:val="24"/>
          <w:szCs w:val="24"/>
        </w:rPr>
      </w:pPr>
    </w:p>
    <w:p w14:paraId="48EBEC38" w14:textId="77777777" w:rsidR="003B7647" w:rsidRPr="005E6897" w:rsidRDefault="003B7647" w:rsidP="00C2550E">
      <w:pPr>
        <w:spacing w:line="360" w:lineRule="auto"/>
        <w:rPr>
          <w:rFonts w:ascii="宋体" w:eastAsia="宋体" w:hAnsi="宋体"/>
          <w:b/>
          <w:bCs/>
          <w:sz w:val="24"/>
          <w:szCs w:val="24"/>
        </w:rPr>
      </w:pPr>
      <w:r w:rsidRPr="005E6897">
        <w:rPr>
          <w:rFonts w:ascii="宋体" w:eastAsia="宋体" w:hAnsi="宋体" w:hint="eastAsia"/>
          <w:b/>
          <w:bCs/>
          <w:sz w:val="24"/>
          <w:szCs w:val="24"/>
        </w:rPr>
        <w:t>一、投资理念</w:t>
      </w:r>
    </w:p>
    <w:p w14:paraId="1DD1E9ED" w14:textId="77777777" w:rsidR="003B7647" w:rsidRPr="005E6897" w:rsidRDefault="003B7647" w:rsidP="00C2550E">
      <w:pPr>
        <w:spacing w:line="360" w:lineRule="auto"/>
        <w:rPr>
          <w:rFonts w:ascii="宋体" w:eastAsia="宋体" w:hAnsi="宋体"/>
          <w:b/>
          <w:bCs/>
          <w:sz w:val="24"/>
          <w:szCs w:val="24"/>
        </w:rPr>
      </w:pPr>
      <w:r w:rsidRPr="005E6897">
        <w:rPr>
          <w:rFonts w:ascii="宋体" w:eastAsia="宋体" w:hAnsi="宋体"/>
          <w:b/>
          <w:bCs/>
          <w:sz w:val="24"/>
          <w:szCs w:val="24"/>
        </w:rPr>
        <w:t>1、投资框架</w:t>
      </w:r>
    </w:p>
    <w:p w14:paraId="16949FF3" w14:textId="12EE51AF" w:rsidR="003B7647" w:rsidRPr="005E6897" w:rsidRDefault="003B7647" w:rsidP="00C2550E">
      <w:pPr>
        <w:spacing w:line="360" w:lineRule="auto"/>
        <w:rPr>
          <w:rFonts w:ascii="宋体" w:eastAsia="宋体" w:hAnsi="宋体"/>
          <w:sz w:val="24"/>
          <w:szCs w:val="24"/>
        </w:rPr>
      </w:pPr>
      <w:r w:rsidRPr="005E6897">
        <w:rPr>
          <w:rFonts w:ascii="宋体" w:eastAsia="宋体" w:hAnsi="宋体" w:hint="eastAsia"/>
          <w:b/>
          <w:bCs/>
          <w:sz w:val="24"/>
          <w:szCs w:val="24"/>
        </w:rPr>
        <w:t>红利基金的投资框架</w:t>
      </w:r>
      <w:r w:rsidR="000378B3">
        <w:rPr>
          <w:rFonts w:ascii="宋体" w:eastAsia="宋体" w:hAnsi="宋体" w:hint="eastAsia"/>
          <w:sz w:val="24"/>
          <w:szCs w:val="24"/>
        </w:rPr>
        <w:t>始终围绕</w:t>
      </w:r>
      <w:r w:rsidR="00A0409D">
        <w:rPr>
          <w:rFonts w:ascii="宋体" w:eastAsia="宋体" w:hAnsi="宋体" w:hint="eastAsia"/>
          <w:b/>
          <w:bCs/>
          <w:sz w:val="24"/>
          <w:szCs w:val="24"/>
        </w:rPr>
        <w:t>股息收入</w:t>
      </w:r>
      <w:r w:rsidR="00E94313">
        <w:rPr>
          <w:rFonts w:ascii="宋体" w:eastAsia="宋体" w:hAnsi="宋体" w:hint="eastAsia"/>
          <w:b/>
          <w:bCs/>
          <w:sz w:val="24"/>
          <w:szCs w:val="24"/>
        </w:rPr>
        <w:t>的稳定现金</w:t>
      </w:r>
      <w:r w:rsidR="002D2EA7">
        <w:rPr>
          <w:rFonts w:ascii="宋体" w:eastAsia="宋体" w:hAnsi="宋体" w:hint="eastAsia"/>
          <w:b/>
          <w:bCs/>
          <w:sz w:val="24"/>
          <w:szCs w:val="24"/>
        </w:rPr>
        <w:t>回报</w:t>
      </w:r>
      <w:r w:rsidR="00A0409D">
        <w:rPr>
          <w:rFonts w:ascii="宋体" w:eastAsia="宋体" w:hAnsi="宋体" w:hint="eastAsia"/>
          <w:b/>
          <w:bCs/>
          <w:sz w:val="24"/>
          <w:szCs w:val="24"/>
        </w:rPr>
        <w:t>和</w:t>
      </w:r>
      <w:r w:rsidR="00CD411C">
        <w:rPr>
          <w:rFonts w:ascii="宋体" w:eastAsia="宋体" w:hAnsi="宋体" w:hint="eastAsia"/>
          <w:b/>
          <w:bCs/>
          <w:sz w:val="24"/>
          <w:szCs w:val="24"/>
        </w:rPr>
        <w:t>价值回归带来的</w:t>
      </w:r>
      <w:r w:rsidR="00A0409D">
        <w:rPr>
          <w:rFonts w:ascii="宋体" w:eastAsia="宋体" w:hAnsi="宋体" w:hint="eastAsia"/>
          <w:b/>
          <w:bCs/>
          <w:sz w:val="24"/>
          <w:szCs w:val="24"/>
        </w:rPr>
        <w:t>资本利得</w:t>
      </w:r>
      <w:r w:rsidR="00797960">
        <w:rPr>
          <w:rFonts w:ascii="宋体" w:eastAsia="宋体" w:hAnsi="宋体" w:hint="eastAsia"/>
          <w:b/>
          <w:bCs/>
          <w:sz w:val="24"/>
          <w:szCs w:val="24"/>
        </w:rPr>
        <w:t>这两个</w:t>
      </w:r>
      <w:r w:rsidR="00C34D6D">
        <w:rPr>
          <w:rFonts w:ascii="宋体" w:eastAsia="宋体" w:hAnsi="宋体" w:hint="eastAsia"/>
          <w:b/>
          <w:bCs/>
          <w:sz w:val="24"/>
          <w:szCs w:val="24"/>
        </w:rPr>
        <w:t>核心</w:t>
      </w:r>
      <w:r w:rsidR="00A0409D">
        <w:rPr>
          <w:rFonts w:ascii="宋体" w:eastAsia="宋体" w:hAnsi="宋体" w:hint="eastAsia"/>
          <w:b/>
          <w:bCs/>
          <w:sz w:val="24"/>
          <w:szCs w:val="24"/>
        </w:rPr>
        <w:t>。股息收入即上市公司分红收入，红利基金通过优选</w:t>
      </w:r>
      <w:r w:rsidR="00323DA9">
        <w:rPr>
          <w:rFonts w:ascii="宋体" w:eastAsia="宋体" w:hAnsi="宋体" w:hint="eastAsia"/>
          <w:b/>
          <w:bCs/>
          <w:sz w:val="24"/>
          <w:szCs w:val="24"/>
        </w:rPr>
        <w:t>过往高分红、经营稳定的公司获取</w:t>
      </w:r>
      <w:r w:rsidR="00D13D3C">
        <w:rPr>
          <w:rFonts w:ascii="宋体" w:eastAsia="宋体" w:hAnsi="宋体" w:hint="eastAsia"/>
          <w:sz w:val="24"/>
          <w:szCs w:val="24"/>
        </w:rPr>
        <w:t xml:space="preserve">；另一方面，由于 股息率 </w:t>
      </w:r>
      <w:r w:rsidR="00D13D3C">
        <w:rPr>
          <w:rFonts w:ascii="宋体" w:eastAsia="宋体" w:hAnsi="宋体"/>
          <w:sz w:val="24"/>
          <w:szCs w:val="24"/>
        </w:rPr>
        <w:t xml:space="preserve">= </w:t>
      </w:r>
      <w:r w:rsidR="00D13D3C">
        <w:rPr>
          <w:rFonts w:ascii="宋体" w:eastAsia="宋体" w:hAnsi="宋体" w:hint="eastAsia"/>
          <w:sz w:val="24"/>
          <w:szCs w:val="24"/>
        </w:rPr>
        <w:t>分红金额/总市值，因此高股息本身也是一种估值指标，资本利得部分主要来自低估值公司的价值回归。</w:t>
      </w:r>
    </w:p>
    <w:p w14:paraId="5EC8F9DA" w14:textId="77777777" w:rsidR="003822E1" w:rsidRPr="005C1F11" w:rsidRDefault="003822E1" w:rsidP="00C2550E">
      <w:pPr>
        <w:spacing w:line="360" w:lineRule="auto"/>
        <w:rPr>
          <w:rFonts w:ascii="宋体" w:eastAsia="宋体" w:hAnsi="宋体"/>
          <w:sz w:val="24"/>
          <w:szCs w:val="24"/>
        </w:rPr>
      </w:pPr>
    </w:p>
    <w:p w14:paraId="5F261276" w14:textId="77777777" w:rsidR="003B7647" w:rsidRPr="005E6897" w:rsidRDefault="003B7647" w:rsidP="00C2550E">
      <w:pPr>
        <w:spacing w:line="360" w:lineRule="auto"/>
        <w:rPr>
          <w:rFonts w:ascii="宋体" w:eastAsia="宋体" w:hAnsi="宋体"/>
          <w:b/>
          <w:bCs/>
          <w:sz w:val="24"/>
          <w:szCs w:val="24"/>
        </w:rPr>
      </w:pPr>
      <w:r w:rsidRPr="005E6897">
        <w:rPr>
          <w:rFonts w:ascii="宋体" w:eastAsia="宋体" w:hAnsi="宋体"/>
          <w:b/>
          <w:bCs/>
          <w:sz w:val="24"/>
          <w:szCs w:val="24"/>
        </w:rPr>
        <w:t>2、选股</w:t>
      </w:r>
      <w:r w:rsidRPr="005E6897">
        <w:rPr>
          <w:rFonts w:ascii="宋体" w:eastAsia="宋体" w:hAnsi="宋体" w:hint="eastAsia"/>
          <w:b/>
          <w:bCs/>
          <w:sz w:val="24"/>
          <w:szCs w:val="24"/>
        </w:rPr>
        <w:t>逻辑</w:t>
      </w:r>
    </w:p>
    <w:p w14:paraId="529F12C8" w14:textId="77777777" w:rsidR="003822E1" w:rsidRDefault="003822E1" w:rsidP="00C2550E">
      <w:pPr>
        <w:spacing w:line="360" w:lineRule="auto"/>
        <w:rPr>
          <w:rFonts w:ascii="宋体" w:eastAsia="宋体" w:hAnsi="宋体"/>
          <w:sz w:val="24"/>
          <w:szCs w:val="24"/>
        </w:rPr>
      </w:pPr>
      <w:r w:rsidRPr="005E6897">
        <w:rPr>
          <w:rFonts w:ascii="宋体" w:eastAsia="宋体" w:hAnsi="宋体" w:hint="eastAsia"/>
          <w:sz w:val="24"/>
          <w:szCs w:val="24"/>
        </w:rPr>
        <w:t>红利基金的选股逻辑主要围绕着寻找具有稳定的股息支付能力和潜力的公司。红利基金</w:t>
      </w:r>
      <w:r w:rsidR="003B7647" w:rsidRPr="005E6897">
        <w:rPr>
          <w:rFonts w:ascii="宋体" w:eastAsia="宋体" w:hAnsi="宋体" w:hint="eastAsia"/>
          <w:sz w:val="24"/>
          <w:szCs w:val="24"/>
        </w:rPr>
        <w:t>选择的股票通常会考虑以下因素</w:t>
      </w:r>
      <w:r w:rsidRPr="005E6897">
        <w:rPr>
          <w:rFonts w:ascii="宋体" w:eastAsia="宋体" w:hAnsi="宋体" w:hint="eastAsia"/>
          <w:sz w:val="24"/>
          <w:szCs w:val="24"/>
        </w:rPr>
        <w:t>：</w:t>
      </w:r>
    </w:p>
    <w:p w14:paraId="696619ED" w14:textId="14FA6A3E" w:rsidR="0040742F" w:rsidRPr="005E6897" w:rsidRDefault="0040742F" w:rsidP="0040742F">
      <w:pPr>
        <w:spacing w:line="360" w:lineRule="auto"/>
        <w:rPr>
          <w:rFonts w:ascii="宋体" w:eastAsia="宋体" w:hAnsi="宋体"/>
          <w:sz w:val="24"/>
          <w:szCs w:val="24"/>
        </w:rPr>
      </w:pPr>
      <w:r w:rsidRPr="005E6897">
        <w:rPr>
          <w:rFonts w:ascii="宋体" w:eastAsia="宋体" w:hAnsi="宋体" w:hint="eastAsia"/>
          <w:b/>
          <w:bCs/>
          <w:sz w:val="24"/>
          <w:szCs w:val="24"/>
        </w:rPr>
        <w:t>（</w:t>
      </w:r>
      <w:r w:rsidR="00002B33">
        <w:rPr>
          <w:rFonts w:ascii="宋体" w:eastAsia="宋体" w:hAnsi="宋体"/>
          <w:b/>
          <w:bCs/>
          <w:sz w:val="24"/>
          <w:szCs w:val="24"/>
        </w:rPr>
        <w:t>1</w:t>
      </w:r>
      <w:r w:rsidRPr="005E6897">
        <w:rPr>
          <w:rFonts w:ascii="宋体" w:eastAsia="宋体" w:hAnsi="宋体"/>
          <w:b/>
          <w:bCs/>
          <w:sz w:val="24"/>
          <w:szCs w:val="24"/>
        </w:rPr>
        <w:t>）</w:t>
      </w:r>
      <w:r w:rsidRPr="005E6897">
        <w:rPr>
          <w:rFonts w:ascii="宋体" w:eastAsia="宋体" w:hAnsi="宋体" w:hint="eastAsia"/>
          <w:b/>
          <w:bCs/>
          <w:sz w:val="24"/>
          <w:szCs w:val="24"/>
        </w:rPr>
        <w:t>市值和流动性：</w:t>
      </w:r>
      <w:r w:rsidR="00E00326" w:rsidRPr="00C017DD">
        <w:rPr>
          <w:rFonts w:ascii="宋体" w:eastAsia="宋体" w:hAnsi="宋体" w:hint="eastAsia"/>
          <w:sz w:val="24"/>
          <w:szCs w:val="24"/>
        </w:rPr>
        <w:t>首先，</w:t>
      </w:r>
      <w:r w:rsidRPr="005E6897">
        <w:rPr>
          <w:rFonts w:ascii="宋体" w:eastAsia="宋体" w:hAnsi="宋体" w:hint="eastAsia"/>
          <w:sz w:val="24"/>
          <w:szCs w:val="24"/>
        </w:rPr>
        <w:t>红利基金会考虑</w:t>
      </w:r>
      <w:r>
        <w:rPr>
          <w:rFonts w:ascii="宋体" w:eastAsia="宋体" w:hAnsi="宋体" w:hint="eastAsia"/>
          <w:sz w:val="24"/>
          <w:szCs w:val="24"/>
        </w:rPr>
        <w:t>剔除</w:t>
      </w:r>
      <w:r w:rsidRPr="005E6897">
        <w:rPr>
          <w:rFonts w:ascii="宋体" w:eastAsia="宋体" w:hAnsi="宋体" w:hint="eastAsia"/>
          <w:sz w:val="24"/>
          <w:szCs w:val="24"/>
        </w:rPr>
        <w:t>过去一年内日均总市值排名</w:t>
      </w:r>
      <w:r>
        <w:rPr>
          <w:rFonts w:ascii="宋体" w:eastAsia="宋体" w:hAnsi="宋体" w:hint="eastAsia"/>
          <w:sz w:val="24"/>
          <w:szCs w:val="24"/>
        </w:rPr>
        <w:t>靠后</w:t>
      </w:r>
      <w:r w:rsidRPr="005E6897">
        <w:rPr>
          <w:rFonts w:ascii="宋体" w:eastAsia="宋体" w:hAnsi="宋体"/>
          <w:sz w:val="24"/>
          <w:szCs w:val="24"/>
        </w:rPr>
        <w:t>以及日均成交金额排名</w:t>
      </w:r>
      <w:r>
        <w:rPr>
          <w:rFonts w:ascii="宋体" w:eastAsia="宋体" w:hAnsi="宋体" w:hint="eastAsia"/>
          <w:sz w:val="24"/>
          <w:szCs w:val="24"/>
        </w:rPr>
        <w:t>靠后</w:t>
      </w:r>
      <w:r w:rsidRPr="005E6897">
        <w:rPr>
          <w:rFonts w:ascii="宋体" w:eastAsia="宋体" w:hAnsi="宋体"/>
          <w:sz w:val="24"/>
          <w:szCs w:val="24"/>
        </w:rPr>
        <w:t>的上市公司。这样的选择能够确保所选股票具有较高的市值流动性，使得基金能够更好地进行交易和调整持仓。</w:t>
      </w:r>
    </w:p>
    <w:p w14:paraId="47322299" w14:textId="77777777" w:rsidR="0040742F" w:rsidRPr="0040742F" w:rsidRDefault="0040742F" w:rsidP="00C2550E">
      <w:pPr>
        <w:spacing w:line="360" w:lineRule="auto"/>
        <w:rPr>
          <w:rFonts w:ascii="宋体" w:eastAsia="宋体" w:hAnsi="宋体"/>
          <w:sz w:val="24"/>
          <w:szCs w:val="24"/>
        </w:rPr>
      </w:pPr>
    </w:p>
    <w:p w14:paraId="1757F54A" w14:textId="7991769C" w:rsidR="006D0EE8" w:rsidRPr="005E6897" w:rsidRDefault="003B7647" w:rsidP="00C2550E">
      <w:pPr>
        <w:spacing w:line="360" w:lineRule="auto"/>
        <w:rPr>
          <w:rFonts w:ascii="宋体" w:eastAsia="宋体" w:hAnsi="宋体"/>
          <w:sz w:val="24"/>
          <w:szCs w:val="24"/>
        </w:rPr>
      </w:pPr>
      <w:r w:rsidRPr="005E6897">
        <w:rPr>
          <w:rFonts w:ascii="宋体" w:eastAsia="宋体" w:hAnsi="宋体" w:hint="eastAsia"/>
          <w:b/>
          <w:bCs/>
          <w:sz w:val="24"/>
          <w:szCs w:val="24"/>
        </w:rPr>
        <w:t>（</w:t>
      </w:r>
      <w:r w:rsidR="00002B33">
        <w:rPr>
          <w:rFonts w:ascii="宋体" w:eastAsia="宋体" w:hAnsi="宋体"/>
          <w:b/>
          <w:bCs/>
          <w:sz w:val="24"/>
          <w:szCs w:val="24"/>
        </w:rPr>
        <w:t>2</w:t>
      </w:r>
      <w:r w:rsidRPr="005E6897">
        <w:rPr>
          <w:rFonts w:ascii="宋体" w:eastAsia="宋体" w:hAnsi="宋体" w:hint="eastAsia"/>
          <w:b/>
          <w:bCs/>
          <w:sz w:val="24"/>
          <w:szCs w:val="24"/>
        </w:rPr>
        <w:t>）</w:t>
      </w:r>
      <w:r w:rsidR="006D0EE8" w:rsidRPr="005E6897">
        <w:rPr>
          <w:rFonts w:ascii="宋体" w:eastAsia="宋体" w:hAnsi="宋体" w:hint="eastAsia"/>
          <w:b/>
          <w:bCs/>
          <w:sz w:val="24"/>
          <w:szCs w:val="24"/>
        </w:rPr>
        <w:t>收益稳定性：</w:t>
      </w:r>
      <w:r w:rsidR="006D0EE8" w:rsidRPr="005E6897">
        <w:rPr>
          <w:rFonts w:ascii="宋体" w:eastAsia="宋体" w:hAnsi="宋体" w:hint="eastAsia"/>
          <w:sz w:val="24"/>
          <w:szCs w:val="24"/>
        </w:rPr>
        <w:t>红利基金会选择那些</w:t>
      </w:r>
      <w:r w:rsidR="005C1F11">
        <w:rPr>
          <w:rFonts w:ascii="宋体" w:eastAsia="宋体" w:hAnsi="宋体" w:hint="eastAsia"/>
          <w:sz w:val="24"/>
          <w:szCs w:val="24"/>
        </w:rPr>
        <w:t>历史上</w:t>
      </w:r>
      <w:r w:rsidR="006D0EE8" w:rsidRPr="005E6897">
        <w:rPr>
          <w:rFonts w:ascii="宋体" w:eastAsia="宋体" w:hAnsi="宋体" w:hint="eastAsia"/>
          <w:sz w:val="24"/>
          <w:szCs w:val="24"/>
        </w:rPr>
        <w:t>连续现金分红</w:t>
      </w:r>
      <w:r w:rsidR="006D0EE8" w:rsidRPr="005E6897">
        <w:rPr>
          <w:rFonts w:ascii="宋体" w:eastAsia="宋体" w:hAnsi="宋体"/>
          <w:sz w:val="24"/>
          <w:szCs w:val="24"/>
        </w:rPr>
        <w:t>的上市公司证券。他们关注公司的财务状况、盈利历史以及现金流的稳定性，以确保公司能够提供持续稳定的股息支付。</w:t>
      </w:r>
    </w:p>
    <w:p w14:paraId="2469DAB9" w14:textId="77777777" w:rsidR="006D0EE8" w:rsidRPr="005E6897" w:rsidRDefault="006D0EE8" w:rsidP="00C2550E">
      <w:pPr>
        <w:spacing w:line="360" w:lineRule="auto"/>
        <w:rPr>
          <w:rFonts w:ascii="宋体" w:eastAsia="宋体" w:hAnsi="宋体"/>
          <w:sz w:val="24"/>
          <w:szCs w:val="24"/>
        </w:rPr>
      </w:pPr>
    </w:p>
    <w:p w14:paraId="21D37100" w14:textId="7DD9F827" w:rsidR="003822E1" w:rsidRDefault="003B575A" w:rsidP="00C2550E">
      <w:pPr>
        <w:spacing w:line="360" w:lineRule="auto"/>
        <w:rPr>
          <w:rFonts w:ascii="宋体" w:eastAsia="宋体" w:hAnsi="宋体"/>
          <w:b/>
          <w:bCs/>
          <w:sz w:val="24"/>
          <w:szCs w:val="24"/>
        </w:rPr>
      </w:pPr>
      <w:r w:rsidRPr="005E6897">
        <w:rPr>
          <w:rFonts w:ascii="宋体" w:eastAsia="宋体" w:hAnsi="宋体" w:hint="eastAsia"/>
          <w:b/>
          <w:bCs/>
          <w:sz w:val="24"/>
          <w:szCs w:val="24"/>
        </w:rPr>
        <w:t>（</w:t>
      </w:r>
      <w:r>
        <w:rPr>
          <w:rFonts w:ascii="宋体" w:eastAsia="宋体" w:hAnsi="宋体"/>
          <w:b/>
          <w:bCs/>
          <w:sz w:val="24"/>
          <w:szCs w:val="24"/>
        </w:rPr>
        <w:t>3</w:t>
      </w:r>
      <w:r w:rsidRPr="005E6897">
        <w:rPr>
          <w:rFonts w:ascii="宋体" w:eastAsia="宋体" w:hAnsi="宋体" w:hint="eastAsia"/>
          <w:b/>
          <w:bCs/>
          <w:sz w:val="24"/>
          <w:szCs w:val="24"/>
        </w:rPr>
        <w:t>）</w:t>
      </w:r>
      <w:r>
        <w:rPr>
          <w:rFonts w:ascii="宋体" w:eastAsia="宋体" w:hAnsi="宋体" w:hint="eastAsia"/>
          <w:b/>
          <w:bCs/>
          <w:sz w:val="24"/>
          <w:szCs w:val="24"/>
        </w:rPr>
        <w:t>选择股息率较高的上市公司</w:t>
      </w:r>
      <w:r w:rsidR="00B768C5">
        <w:rPr>
          <w:rFonts w:ascii="宋体" w:eastAsia="宋体" w:hAnsi="宋体" w:hint="eastAsia"/>
          <w:b/>
          <w:bCs/>
          <w:sz w:val="24"/>
          <w:szCs w:val="24"/>
        </w:rPr>
        <w:t>：</w:t>
      </w:r>
      <w:r w:rsidR="00B768C5" w:rsidRPr="009E03EC">
        <w:rPr>
          <w:rFonts w:ascii="宋体" w:eastAsia="宋体" w:hAnsi="宋体" w:hint="eastAsia"/>
          <w:sz w:val="24"/>
          <w:szCs w:val="24"/>
        </w:rPr>
        <w:t>在前面两步的基础上</w:t>
      </w:r>
      <w:r w:rsidR="00B210FF">
        <w:rPr>
          <w:rFonts w:ascii="宋体" w:eastAsia="宋体" w:hAnsi="宋体" w:hint="eastAsia"/>
          <w:sz w:val="24"/>
          <w:szCs w:val="24"/>
        </w:rPr>
        <w:t>（稳定的市值和流动性、稳定的分红）</w:t>
      </w:r>
      <w:r w:rsidR="00B768C5" w:rsidRPr="009E03EC">
        <w:rPr>
          <w:rFonts w:ascii="宋体" w:eastAsia="宋体" w:hAnsi="宋体" w:hint="eastAsia"/>
          <w:sz w:val="24"/>
          <w:szCs w:val="24"/>
        </w:rPr>
        <w:t>，</w:t>
      </w:r>
      <w:r w:rsidR="003947BA">
        <w:rPr>
          <w:rFonts w:ascii="宋体" w:eastAsia="宋体" w:hAnsi="宋体" w:hint="eastAsia"/>
          <w:sz w:val="24"/>
          <w:szCs w:val="24"/>
        </w:rPr>
        <w:t>红利基金选择股息率较高的若干上市公司组成最终的投资组合。</w:t>
      </w:r>
    </w:p>
    <w:p w14:paraId="4A9B9E0A" w14:textId="77777777" w:rsidR="0052719D" w:rsidRDefault="0052719D" w:rsidP="00C2550E">
      <w:pPr>
        <w:spacing w:line="360" w:lineRule="auto"/>
        <w:rPr>
          <w:rFonts w:ascii="宋体" w:eastAsia="宋体" w:hAnsi="宋体"/>
          <w:sz w:val="24"/>
          <w:szCs w:val="24"/>
        </w:rPr>
      </w:pPr>
    </w:p>
    <w:p w14:paraId="23B92394" w14:textId="77777777" w:rsidR="00A42C6D" w:rsidRDefault="00A42C6D" w:rsidP="00C2550E">
      <w:pPr>
        <w:spacing w:line="360" w:lineRule="auto"/>
        <w:rPr>
          <w:rFonts w:ascii="宋体" w:eastAsia="宋体" w:hAnsi="宋体"/>
          <w:sz w:val="24"/>
          <w:szCs w:val="24"/>
        </w:rPr>
      </w:pPr>
    </w:p>
    <w:p w14:paraId="00E49FF4" w14:textId="77777777" w:rsidR="00A42C6D" w:rsidRDefault="00A42C6D" w:rsidP="00C2550E">
      <w:pPr>
        <w:spacing w:line="360" w:lineRule="auto"/>
        <w:rPr>
          <w:rFonts w:ascii="宋体" w:eastAsia="宋体" w:hAnsi="宋体"/>
          <w:sz w:val="24"/>
          <w:szCs w:val="24"/>
        </w:rPr>
      </w:pPr>
    </w:p>
    <w:p w14:paraId="679736BA" w14:textId="77777777" w:rsidR="00A42C6D" w:rsidRDefault="00A42C6D" w:rsidP="00C2550E">
      <w:pPr>
        <w:spacing w:line="360" w:lineRule="auto"/>
        <w:rPr>
          <w:rFonts w:ascii="宋体" w:eastAsia="宋体" w:hAnsi="宋体"/>
          <w:sz w:val="24"/>
          <w:szCs w:val="24"/>
        </w:rPr>
      </w:pPr>
    </w:p>
    <w:p w14:paraId="4BD1D0D1" w14:textId="77777777" w:rsidR="00A42C6D" w:rsidRPr="005E6897" w:rsidRDefault="00A42C6D" w:rsidP="00C2550E">
      <w:pPr>
        <w:spacing w:line="360" w:lineRule="auto"/>
        <w:rPr>
          <w:rFonts w:ascii="宋体" w:eastAsia="宋体" w:hAnsi="宋体"/>
          <w:sz w:val="24"/>
          <w:szCs w:val="24"/>
        </w:rPr>
      </w:pPr>
    </w:p>
    <w:p w14:paraId="329173D9" w14:textId="493577A7" w:rsidR="00B37FC5" w:rsidRPr="005E6897" w:rsidRDefault="003B7647" w:rsidP="00C2550E">
      <w:pPr>
        <w:spacing w:line="360" w:lineRule="auto"/>
        <w:rPr>
          <w:rFonts w:ascii="宋体" w:eastAsia="宋体" w:hAnsi="宋体" w:cs="Arial"/>
          <w:sz w:val="24"/>
          <w:szCs w:val="24"/>
        </w:rPr>
      </w:pPr>
      <w:r w:rsidRPr="005E6897">
        <w:rPr>
          <w:rFonts w:ascii="宋体" w:eastAsia="宋体" w:hAnsi="宋体" w:hint="eastAsia"/>
          <w:b/>
          <w:bCs/>
          <w:sz w:val="24"/>
          <w:szCs w:val="24"/>
        </w:rPr>
        <w:lastRenderedPageBreak/>
        <w:t>二</w:t>
      </w:r>
      <w:r w:rsidR="00D30A6C" w:rsidRPr="005E6897">
        <w:rPr>
          <w:rFonts w:ascii="宋体" w:eastAsia="宋体" w:hAnsi="宋体" w:hint="eastAsia"/>
          <w:b/>
          <w:bCs/>
          <w:sz w:val="24"/>
          <w:szCs w:val="24"/>
        </w:rPr>
        <w:t>、历史表现</w:t>
      </w:r>
    </w:p>
    <w:p w14:paraId="4DCC8B4E" w14:textId="277D4489" w:rsidR="003B7647" w:rsidRPr="005E6897" w:rsidRDefault="003B7647" w:rsidP="00A46EAD">
      <w:pPr>
        <w:spacing w:line="360" w:lineRule="auto"/>
        <w:jc w:val="center"/>
        <w:rPr>
          <w:rFonts w:ascii="宋体" w:eastAsia="宋体" w:hAnsi="宋体" w:cs="Arial"/>
          <w:sz w:val="24"/>
          <w:szCs w:val="24"/>
        </w:rPr>
      </w:pPr>
      <w:r w:rsidRPr="005E6897">
        <w:rPr>
          <w:rFonts w:ascii="宋体" w:eastAsia="宋体" w:hAnsi="宋体" w:cs="Arial"/>
          <w:sz w:val="24"/>
          <w:szCs w:val="24"/>
        </w:rPr>
        <w:t>图</w:t>
      </w:r>
      <w:r w:rsidRPr="005E6897">
        <w:rPr>
          <w:rFonts w:ascii="宋体" w:eastAsia="宋体" w:hAnsi="宋体" w:cs="Arial" w:hint="eastAsia"/>
          <w:sz w:val="24"/>
          <w:szCs w:val="24"/>
        </w:rPr>
        <w:t>：</w:t>
      </w:r>
      <w:r w:rsidR="00B37FC5" w:rsidRPr="005E6897">
        <w:rPr>
          <w:rFonts w:ascii="宋体" w:eastAsia="宋体" w:hAnsi="宋体"/>
          <w:sz w:val="24"/>
          <w:szCs w:val="24"/>
        </w:rPr>
        <w:t>偏股</w:t>
      </w:r>
      <w:r w:rsidR="00B37FC5" w:rsidRPr="005E6897">
        <w:rPr>
          <w:rFonts w:ascii="宋体" w:eastAsia="宋体" w:hAnsi="宋体" w:hint="eastAsia"/>
          <w:sz w:val="24"/>
          <w:szCs w:val="24"/>
        </w:rPr>
        <w:t>基金</w:t>
      </w:r>
      <w:r w:rsidRPr="005E6897">
        <w:rPr>
          <w:rFonts w:ascii="宋体" w:eastAsia="宋体" w:hAnsi="宋体" w:hint="eastAsia"/>
          <w:sz w:val="24"/>
          <w:szCs w:val="24"/>
        </w:rPr>
        <w:t>指数VS</w:t>
      </w:r>
      <w:r w:rsidR="00B37FC5" w:rsidRPr="005E6897">
        <w:rPr>
          <w:rFonts w:ascii="宋体" w:eastAsia="宋体" w:hAnsi="宋体"/>
          <w:sz w:val="24"/>
          <w:szCs w:val="24"/>
        </w:rPr>
        <w:t>中证</w:t>
      </w:r>
      <w:r w:rsidR="00B37FC5" w:rsidRPr="005E6897">
        <w:rPr>
          <w:rFonts w:ascii="宋体" w:eastAsia="宋体" w:hAnsi="宋体" w:hint="eastAsia"/>
          <w:sz w:val="24"/>
          <w:szCs w:val="24"/>
        </w:rPr>
        <w:t>红利指数</w:t>
      </w:r>
      <w:r w:rsidRPr="005E6897">
        <w:rPr>
          <w:rFonts w:ascii="宋体" w:eastAsia="宋体" w:hAnsi="宋体" w:hint="eastAsia"/>
          <w:sz w:val="24"/>
          <w:szCs w:val="24"/>
        </w:rPr>
        <w:t>牛熊</w:t>
      </w:r>
      <w:r w:rsidR="00A42C6D">
        <w:rPr>
          <w:rFonts w:ascii="宋体" w:eastAsia="宋体" w:hAnsi="宋体" w:hint="eastAsia"/>
          <w:sz w:val="24"/>
          <w:szCs w:val="24"/>
        </w:rPr>
        <w:t>震荡</w:t>
      </w:r>
      <w:r w:rsidRPr="005E6897">
        <w:rPr>
          <w:rFonts w:ascii="宋体" w:eastAsia="宋体" w:hAnsi="宋体" w:hint="eastAsia"/>
          <w:sz w:val="24"/>
          <w:szCs w:val="24"/>
        </w:rPr>
        <w:t>市表现</w:t>
      </w:r>
    </w:p>
    <w:p w14:paraId="3B091131" w14:textId="344FB6D1" w:rsidR="00D30A6C" w:rsidRPr="005E6897" w:rsidRDefault="00FD3CAD" w:rsidP="00A46EAD">
      <w:pPr>
        <w:spacing w:line="360" w:lineRule="auto"/>
        <w:rPr>
          <w:rFonts w:ascii="宋体" w:eastAsia="宋体" w:hAnsi="宋体"/>
          <w:sz w:val="24"/>
          <w:szCs w:val="24"/>
        </w:rPr>
      </w:pPr>
      <w:r w:rsidRPr="00FD3CAD">
        <w:rPr>
          <w:noProof/>
        </w:rPr>
        <w:drawing>
          <wp:inline distT="0" distB="0" distL="0" distR="0" wp14:anchorId="69A6FBB1" wp14:editId="71851F11">
            <wp:extent cx="5274310" cy="2569845"/>
            <wp:effectExtent l="0" t="0" r="2540" b="1905"/>
            <wp:docPr id="8690479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69845"/>
                    </a:xfrm>
                    <a:prstGeom prst="rect">
                      <a:avLst/>
                    </a:prstGeom>
                    <a:noFill/>
                    <a:ln>
                      <a:noFill/>
                    </a:ln>
                  </pic:spPr>
                </pic:pic>
              </a:graphicData>
            </a:graphic>
          </wp:inline>
        </w:drawing>
      </w:r>
    </w:p>
    <w:p w14:paraId="2D9EFAF9" w14:textId="0DCA9A87" w:rsidR="00A51D9E" w:rsidRPr="005E6897" w:rsidRDefault="00A51D9E" w:rsidP="00A51D9E">
      <w:pPr>
        <w:spacing w:line="360" w:lineRule="auto"/>
        <w:jc w:val="center"/>
        <w:rPr>
          <w:rFonts w:ascii="宋体" w:eastAsia="宋体" w:hAnsi="宋体"/>
          <w:szCs w:val="24"/>
        </w:rPr>
      </w:pPr>
      <w:r w:rsidRPr="005E6897">
        <w:rPr>
          <w:rFonts w:ascii="宋体" w:eastAsia="宋体" w:hAnsi="宋体" w:hint="eastAsia"/>
          <w:szCs w:val="24"/>
        </w:rPr>
        <w:t>资料来源</w:t>
      </w:r>
      <w:r w:rsidRPr="005E6897">
        <w:rPr>
          <w:rFonts w:ascii="宋体" w:eastAsia="宋体" w:hAnsi="宋体"/>
          <w:szCs w:val="24"/>
        </w:rPr>
        <w:t>：Wind，广发基金，截至2023/5/19</w:t>
      </w:r>
    </w:p>
    <w:p w14:paraId="0FE4CA8F" w14:textId="77777777" w:rsidR="00A51D9E" w:rsidRPr="005E6897" w:rsidRDefault="00A51D9E" w:rsidP="00A46EAD">
      <w:pPr>
        <w:spacing w:line="360" w:lineRule="auto"/>
        <w:rPr>
          <w:rFonts w:ascii="宋体" w:eastAsia="宋体" w:hAnsi="宋体"/>
          <w:b/>
          <w:bCs/>
          <w:sz w:val="24"/>
          <w:szCs w:val="24"/>
        </w:rPr>
      </w:pPr>
    </w:p>
    <w:p w14:paraId="52378456" w14:textId="09618CA0" w:rsidR="00A51D9E" w:rsidRPr="005E6897" w:rsidRDefault="00A51D9E" w:rsidP="00C2550E">
      <w:pPr>
        <w:spacing w:line="360" w:lineRule="auto"/>
        <w:jc w:val="center"/>
        <w:rPr>
          <w:rFonts w:ascii="宋体" w:eastAsia="宋体" w:hAnsi="宋体" w:cs="Arial"/>
          <w:sz w:val="24"/>
          <w:szCs w:val="24"/>
        </w:rPr>
      </w:pPr>
      <w:r w:rsidRPr="005E6897">
        <w:rPr>
          <w:rFonts w:ascii="宋体" w:eastAsia="宋体" w:hAnsi="宋体" w:cs="Arial"/>
          <w:sz w:val="24"/>
          <w:szCs w:val="24"/>
        </w:rPr>
        <w:t>图</w:t>
      </w:r>
      <w:r w:rsidRPr="005E6897">
        <w:rPr>
          <w:rFonts w:ascii="宋体" w:eastAsia="宋体" w:hAnsi="宋体" w:cs="Arial" w:hint="eastAsia"/>
          <w:sz w:val="24"/>
          <w:szCs w:val="24"/>
        </w:rPr>
        <w:t>：</w:t>
      </w:r>
      <w:r w:rsidRPr="005E6897">
        <w:rPr>
          <w:rFonts w:ascii="宋体" w:eastAsia="宋体" w:hAnsi="宋体"/>
          <w:sz w:val="24"/>
          <w:szCs w:val="24"/>
        </w:rPr>
        <w:t>偏股</w:t>
      </w:r>
      <w:r w:rsidRPr="005E6897">
        <w:rPr>
          <w:rFonts w:ascii="宋体" w:eastAsia="宋体" w:hAnsi="宋体" w:hint="eastAsia"/>
          <w:sz w:val="24"/>
          <w:szCs w:val="24"/>
        </w:rPr>
        <w:t>基金指数VS</w:t>
      </w:r>
      <w:r w:rsidRPr="005E6897">
        <w:rPr>
          <w:rFonts w:ascii="宋体" w:eastAsia="宋体" w:hAnsi="宋体"/>
          <w:sz w:val="24"/>
          <w:szCs w:val="24"/>
        </w:rPr>
        <w:t>中证</w:t>
      </w:r>
      <w:r w:rsidRPr="005E6897">
        <w:rPr>
          <w:rFonts w:ascii="宋体" w:eastAsia="宋体" w:hAnsi="宋体" w:hint="eastAsia"/>
          <w:sz w:val="24"/>
          <w:szCs w:val="24"/>
        </w:rPr>
        <w:t>红利指数年度表现对比</w:t>
      </w:r>
    </w:p>
    <w:p w14:paraId="682DCFD5" w14:textId="5CB5EA3E" w:rsidR="00A51D9E" w:rsidRPr="005E6897" w:rsidRDefault="00DC36B9" w:rsidP="00C2550E">
      <w:pPr>
        <w:spacing w:line="360" w:lineRule="auto"/>
        <w:rPr>
          <w:rFonts w:ascii="宋体" w:eastAsia="宋体" w:hAnsi="宋体"/>
          <w:b/>
          <w:bCs/>
          <w:sz w:val="24"/>
          <w:szCs w:val="24"/>
        </w:rPr>
      </w:pPr>
      <w:r>
        <w:rPr>
          <w:rFonts w:ascii="宋体" w:eastAsia="宋体" w:hAnsi="宋体"/>
          <w:b/>
          <w:bCs/>
          <w:noProof/>
          <w:sz w:val="24"/>
          <w:szCs w:val="24"/>
        </w:rPr>
        <w:drawing>
          <wp:inline distT="0" distB="0" distL="0" distR="0" wp14:anchorId="713845DC" wp14:editId="4C53989E">
            <wp:extent cx="5041119" cy="3486865"/>
            <wp:effectExtent l="0" t="0" r="0" b="0"/>
            <wp:docPr id="12906410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825" cy="3492195"/>
                    </a:xfrm>
                    <a:prstGeom prst="rect">
                      <a:avLst/>
                    </a:prstGeom>
                    <a:noFill/>
                  </pic:spPr>
                </pic:pic>
              </a:graphicData>
            </a:graphic>
          </wp:inline>
        </w:drawing>
      </w:r>
    </w:p>
    <w:p w14:paraId="5936CE2A" w14:textId="275AB21E" w:rsidR="001854D0" w:rsidRDefault="00A51D9E" w:rsidP="00B366AF">
      <w:pPr>
        <w:spacing w:line="360" w:lineRule="auto"/>
        <w:jc w:val="center"/>
        <w:rPr>
          <w:rFonts w:ascii="宋体" w:eastAsia="宋体" w:hAnsi="宋体"/>
          <w:szCs w:val="24"/>
        </w:rPr>
      </w:pPr>
      <w:r w:rsidRPr="005E6897">
        <w:rPr>
          <w:rFonts w:ascii="宋体" w:eastAsia="宋体" w:hAnsi="宋体" w:hint="eastAsia"/>
          <w:szCs w:val="24"/>
        </w:rPr>
        <w:t>资料来源</w:t>
      </w:r>
      <w:r w:rsidRPr="005E6897">
        <w:rPr>
          <w:rFonts w:ascii="宋体" w:eastAsia="宋体" w:hAnsi="宋体"/>
          <w:szCs w:val="24"/>
        </w:rPr>
        <w:t>：Wind，广发基金，截至2023/5/1</w:t>
      </w:r>
      <w:r w:rsidR="003D0A92">
        <w:rPr>
          <w:rFonts w:ascii="宋体" w:eastAsia="宋体" w:hAnsi="宋体"/>
          <w:szCs w:val="24"/>
        </w:rPr>
        <w:t>9</w:t>
      </w:r>
    </w:p>
    <w:p w14:paraId="7F61F2CF" w14:textId="77777777" w:rsidR="00610C03" w:rsidRDefault="00610C03" w:rsidP="00C2550E">
      <w:pPr>
        <w:spacing w:line="360" w:lineRule="auto"/>
        <w:rPr>
          <w:rFonts w:ascii="宋体" w:eastAsia="宋体" w:hAnsi="宋体"/>
          <w:szCs w:val="24"/>
        </w:rPr>
      </w:pPr>
    </w:p>
    <w:p w14:paraId="6DD6F816" w14:textId="52CAE7A8" w:rsidR="00610C03" w:rsidRPr="005E6897" w:rsidRDefault="00610C03" w:rsidP="00C2550E">
      <w:pPr>
        <w:spacing w:line="360" w:lineRule="auto"/>
        <w:rPr>
          <w:rFonts w:ascii="宋体" w:eastAsia="宋体" w:hAnsi="宋体"/>
          <w:sz w:val="24"/>
          <w:szCs w:val="24"/>
        </w:rPr>
      </w:pPr>
      <w:r>
        <w:rPr>
          <w:rFonts w:ascii="宋体" w:eastAsia="宋体" w:hAnsi="宋体"/>
          <w:szCs w:val="24"/>
        </w:rPr>
        <w:tab/>
      </w:r>
      <w:r>
        <w:rPr>
          <w:rFonts w:ascii="宋体" w:eastAsia="宋体" w:hAnsi="宋体" w:hint="eastAsia"/>
          <w:szCs w:val="24"/>
        </w:rPr>
        <w:t>通过不同市场和牛熊市的对比，我们发现：</w:t>
      </w:r>
      <w:r w:rsidR="00CF361C">
        <w:rPr>
          <w:rFonts w:ascii="宋体" w:eastAsia="宋体" w:hAnsi="宋体"/>
          <w:szCs w:val="24"/>
        </w:rPr>
        <w:t>1</w:t>
      </w:r>
      <w:r w:rsidR="00CF361C">
        <w:rPr>
          <w:rFonts w:ascii="宋体" w:eastAsia="宋体" w:hAnsi="宋体" w:hint="eastAsia"/>
          <w:szCs w:val="24"/>
        </w:rPr>
        <w:t>、红利基金在牛市往往会跑输偏股基金。比如2</w:t>
      </w:r>
      <w:r w:rsidR="00CF361C">
        <w:rPr>
          <w:rFonts w:ascii="宋体" w:eastAsia="宋体" w:hAnsi="宋体"/>
          <w:szCs w:val="24"/>
        </w:rPr>
        <w:t>015</w:t>
      </w:r>
      <w:r w:rsidR="00CF361C">
        <w:rPr>
          <w:rFonts w:ascii="宋体" w:eastAsia="宋体" w:hAnsi="宋体" w:hint="eastAsia"/>
          <w:szCs w:val="24"/>
        </w:rPr>
        <w:t>年、2</w:t>
      </w:r>
      <w:r w:rsidR="00CF361C">
        <w:rPr>
          <w:rFonts w:ascii="宋体" w:eastAsia="宋体" w:hAnsi="宋体"/>
          <w:szCs w:val="24"/>
        </w:rPr>
        <w:t>019</w:t>
      </w:r>
      <w:r w:rsidR="00CF361C">
        <w:rPr>
          <w:rFonts w:ascii="宋体" w:eastAsia="宋体" w:hAnsi="宋体" w:hint="eastAsia"/>
          <w:szCs w:val="24"/>
        </w:rPr>
        <w:t>年、2</w:t>
      </w:r>
      <w:r w:rsidR="00CF361C">
        <w:rPr>
          <w:rFonts w:ascii="宋体" w:eastAsia="宋体" w:hAnsi="宋体"/>
          <w:szCs w:val="24"/>
        </w:rPr>
        <w:t>020</w:t>
      </w:r>
      <w:r w:rsidR="00CF361C">
        <w:rPr>
          <w:rFonts w:ascii="宋体" w:eastAsia="宋体" w:hAnsi="宋体" w:hint="eastAsia"/>
          <w:szCs w:val="24"/>
        </w:rPr>
        <w:t>年，权益市场大行情下，红利基金往往会相对滞后</w:t>
      </w:r>
      <w:r w:rsidR="009850E3">
        <w:rPr>
          <w:rFonts w:ascii="宋体" w:eastAsia="宋体" w:hAnsi="宋体" w:hint="eastAsia"/>
          <w:szCs w:val="24"/>
        </w:rPr>
        <w:t>；</w:t>
      </w:r>
      <w:r w:rsidR="009850E3">
        <w:rPr>
          <w:rFonts w:ascii="宋体" w:eastAsia="宋体" w:hAnsi="宋体"/>
          <w:szCs w:val="24"/>
        </w:rPr>
        <w:t>2</w:t>
      </w:r>
      <w:r>
        <w:rPr>
          <w:rFonts w:ascii="宋体" w:eastAsia="宋体" w:hAnsi="宋体" w:hint="eastAsia"/>
          <w:szCs w:val="24"/>
        </w:rPr>
        <w:t>、</w:t>
      </w:r>
      <w:r w:rsidR="00CF361C" w:rsidRPr="00CF361C">
        <w:rPr>
          <w:rFonts w:ascii="宋体" w:eastAsia="宋体" w:hAnsi="宋体" w:hint="eastAsia"/>
          <w:szCs w:val="24"/>
        </w:rPr>
        <w:t>在震</w:t>
      </w:r>
      <w:r w:rsidR="00CF361C" w:rsidRPr="00CF361C">
        <w:rPr>
          <w:rFonts w:ascii="宋体" w:eastAsia="宋体" w:hAnsi="宋体" w:hint="eastAsia"/>
          <w:szCs w:val="24"/>
        </w:rPr>
        <w:lastRenderedPageBreak/>
        <w:t>荡市和熊市阶段，</w:t>
      </w:r>
      <w:r w:rsidR="00DA1277">
        <w:rPr>
          <w:rFonts w:ascii="宋体" w:eastAsia="宋体" w:hAnsi="宋体" w:hint="eastAsia"/>
          <w:szCs w:val="24"/>
        </w:rPr>
        <w:t>红利基金</w:t>
      </w:r>
      <w:r w:rsidR="00CF361C" w:rsidRPr="00CF361C">
        <w:rPr>
          <w:rFonts w:ascii="宋体" w:eastAsia="宋体" w:hAnsi="宋体" w:hint="eastAsia"/>
          <w:szCs w:val="24"/>
        </w:rPr>
        <w:t>的表现并不稳定，有时表现较好，有时表现较差。比如，</w:t>
      </w:r>
      <w:r w:rsidR="00CF361C" w:rsidRPr="00CF361C">
        <w:rPr>
          <w:rFonts w:ascii="宋体" w:eastAsia="宋体" w:hAnsi="宋体"/>
          <w:szCs w:val="24"/>
        </w:rPr>
        <w:t>2015年6月至2015年9月的熊市中，偏股基金下跌了42.70%，</w:t>
      </w:r>
      <w:r w:rsidR="00273A9A">
        <w:rPr>
          <w:rFonts w:ascii="宋体" w:eastAsia="宋体" w:hAnsi="宋体" w:hint="eastAsia"/>
          <w:szCs w:val="24"/>
        </w:rPr>
        <w:t>红利基金</w:t>
      </w:r>
      <w:r w:rsidR="00CF361C" w:rsidRPr="00CF361C">
        <w:rPr>
          <w:rFonts w:ascii="宋体" w:eastAsia="宋体" w:hAnsi="宋体"/>
          <w:szCs w:val="24"/>
        </w:rPr>
        <w:t>下跌了43.86%</w:t>
      </w:r>
      <w:r w:rsidR="00501147">
        <w:rPr>
          <w:rFonts w:ascii="宋体" w:eastAsia="宋体" w:hAnsi="宋体" w:hint="eastAsia"/>
          <w:szCs w:val="24"/>
        </w:rPr>
        <w:t>；而在今年的震荡市场中，红利基金则明显跑赢了偏股基金。</w:t>
      </w:r>
    </w:p>
    <w:p w14:paraId="0A3C972E" w14:textId="77777777" w:rsidR="003822E1" w:rsidRPr="005E6897" w:rsidRDefault="003822E1" w:rsidP="00C2550E">
      <w:pPr>
        <w:spacing w:line="360" w:lineRule="auto"/>
        <w:rPr>
          <w:rFonts w:ascii="宋体" w:eastAsia="宋体" w:hAnsi="宋体"/>
          <w:sz w:val="24"/>
          <w:szCs w:val="24"/>
        </w:rPr>
      </w:pPr>
    </w:p>
    <w:p w14:paraId="51808744" w14:textId="77777777" w:rsidR="001854D0" w:rsidRPr="005E6897" w:rsidRDefault="00C677C0" w:rsidP="00C2550E">
      <w:pPr>
        <w:spacing w:line="360" w:lineRule="auto"/>
        <w:rPr>
          <w:rFonts w:ascii="宋体" w:eastAsia="宋体" w:hAnsi="宋体"/>
          <w:b/>
          <w:bCs/>
          <w:sz w:val="24"/>
          <w:szCs w:val="24"/>
        </w:rPr>
      </w:pPr>
      <w:r w:rsidRPr="005E6897">
        <w:rPr>
          <w:rFonts w:ascii="宋体" w:eastAsia="宋体" w:hAnsi="宋体" w:hint="eastAsia"/>
          <w:b/>
          <w:bCs/>
          <w:sz w:val="24"/>
          <w:szCs w:val="24"/>
        </w:rPr>
        <w:t>三</w:t>
      </w:r>
      <w:r w:rsidR="001854D0" w:rsidRPr="005E6897">
        <w:rPr>
          <w:rFonts w:ascii="宋体" w:eastAsia="宋体" w:hAnsi="宋体" w:hint="eastAsia"/>
          <w:b/>
          <w:bCs/>
          <w:sz w:val="24"/>
          <w:szCs w:val="24"/>
        </w:rPr>
        <w:t>、行业分布</w:t>
      </w:r>
    </w:p>
    <w:p w14:paraId="03F16AF6" w14:textId="07C4E22C" w:rsidR="00882D14" w:rsidRPr="005E6897" w:rsidRDefault="00A46EAD" w:rsidP="00C2550E">
      <w:pPr>
        <w:spacing w:line="360" w:lineRule="auto"/>
        <w:jc w:val="center"/>
        <w:rPr>
          <w:rFonts w:ascii="宋体" w:eastAsia="宋体" w:hAnsi="宋体"/>
          <w:sz w:val="24"/>
          <w:szCs w:val="24"/>
        </w:rPr>
      </w:pPr>
      <w:r w:rsidRPr="005E6897">
        <w:rPr>
          <w:rFonts w:ascii="宋体" w:eastAsia="宋体" w:hAnsi="宋体" w:hint="eastAsia"/>
          <w:sz w:val="24"/>
          <w:szCs w:val="24"/>
        </w:rPr>
        <w:t>图：偏股基金</w:t>
      </w:r>
      <w:r w:rsidRPr="005E6897">
        <w:rPr>
          <w:rFonts w:ascii="宋体" w:eastAsia="宋体" w:hAnsi="宋体"/>
          <w:sz w:val="24"/>
          <w:szCs w:val="24"/>
        </w:rPr>
        <w:t>VS</w:t>
      </w:r>
      <w:r w:rsidRPr="005E6897">
        <w:rPr>
          <w:rFonts w:ascii="宋体" w:eastAsia="宋体" w:hAnsi="宋体" w:hint="eastAsia"/>
          <w:sz w:val="24"/>
          <w:szCs w:val="24"/>
        </w:rPr>
        <w:t>中证红利指数</w:t>
      </w:r>
      <w:r w:rsidRPr="005E6897">
        <w:rPr>
          <w:rFonts w:ascii="宋体" w:eastAsia="宋体" w:hAnsi="宋体"/>
          <w:sz w:val="24"/>
          <w:szCs w:val="24"/>
        </w:rPr>
        <w:t>VS</w:t>
      </w:r>
      <w:r w:rsidRPr="005E6897">
        <w:rPr>
          <w:rFonts w:ascii="宋体" w:eastAsia="宋体" w:hAnsi="宋体" w:hint="eastAsia"/>
          <w:sz w:val="24"/>
          <w:szCs w:val="24"/>
        </w:rPr>
        <w:t>中特估行业权重</w:t>
      </w:r>
    </w:p>
    <w:p w14:paraId="0EA3F55E" w14:textId="0EBF29AD" w:rsidR="00A33241" w:rsidRPr="005E6897" w:rsidRDefault="007C58B5" w:rsidP="00A46EAD">
      <w:pPr>
        <w:spacing w:line="360" w:lineRule="auto"/>
        <w:jc w:val="center"/>
        <w:rPr>
          <w:rFonts w:ascii="宋体" w:eastAsia="宋体" w:hAnsi="宋体"/>
          <w:b/>
          <w:bCs/>
          <w:sz w:val="24"/>
          <w:szCs w:val="24"/>
        </w:rPr>
      </w:pPr>
      <w:r w:rsidRPr="007C58B5">
        <w:rPr>
          <w:noProof/>
        </w:rPr>
        <w:drawing>
          <wp:inline distT="0" distB="0" distL="0" distR="0" wp14:anchorId="6CE4D7E1" wp14:editId="470465B8">
            <wp:extent cx="4135120" cy="5643245"/>
            <wp:effectExtent l="0" t="0" r="0" b="0"/>
            <wp:docPr id="18321055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120" cy="5643245"/>
                    </a:xfrm>
                    <a:prstGeom prst="rect">
                      <a:avLst/>
                    </a:prstGeom>
                    <a:noFill/>
                    <a:ln>
                      <a:noFill/>
                    </a:ln>
                  </pic:spPr>
                </pic:pic>
              </a:graphicData>
            </a:graphic>
          </wp:inline>
        </w:drawing>
      </w:r>
    </w:p>
    <w:p w14:paraId="6C90F2E5" w14:textId="72C24FC4" w:rsidR="00A46EAD" w:rsidRPr="00697C7E" w:rsidRDefault="00A46EAD" w:rsidP="00C2550E">
      <w:pPr>
        <w:spacing w:line="360" w:lineRule="auto"/>
        <w:jc w:val="center"/>
        <w:rPr>
          <w:rFonts w:ascii="宋体" w:eastAsia="宋体" w:hAnsi="宋体"/>
          <w:b/>
          <w:bCs/>
          <w:szCs w:val="21"/>
        </w:rPr>
      </w:pPr>
      <w:r w:rsidRPr="00697C7E">
        <w:rPr>
          <w:rFonts w:ascii="宋体" w:eastAsia="宋体" w:hAnsi="宋体" w:cs="Times New Roman"/>
          <w:bCs/>
          <w:color w:val="000000"/>
          <w:szCs w:val="21"/>
        </w:rPr>
        <w:t>资料来源：</w:t>
      </w:r>
      <w:r w:rsidR="00181DE0" w:rsidRPr="00697C7E">
        <w:rPr>
          <w:rFonts w:ascii="宋体" w:eastAsia="宋体" w:hAnsi="宋体"/>
          <w:szCs w:val="21"/>
        </w:rPr>
        <w:t>Wind，</w:t>
      </w:r>
      <w:r w:rsidR="00A51D9E" w:rsidRPr="00697C7E">
        <w:rPr>
          <w:rFonts w:ascii="宋体" w:eastAsia="宋体" w:hAnsi="宋体" w:cs="Times New Roman" w:hint="eastAsia"/>
          <w:bCs/>
          <w:color w:val="000000"/>
          <w:szCs w:val="21"/>
        </w:rPr>
        <w:t>截至</w:t>
      </w:r>
      <w:r w:rsidR="00A51D9E" w:rsidRPr="00697C7E">
        <w:rPr>
          <w:rFonts w:ascii="宋体" w:eastAsia="宋体" w:hAnsi="宋体" w:cs="Times New Roman"/>
          <w:bCs/>
          <w:color w:val="000000"/>
          <w:szCs w:val="21"/>
        </w:rPr>
        <w:t>2023/3/31</w:t>
      </w:r>
      <w:r w:rsidR="00890D09" w:rsidRPr="00697C7E">
        <w:rPr>
          <w:rFonts w:ascii="宋体" w:eastAsia="宋体" w:hAnsi="宋体" w:cs="Times New Roman" w:hint="eastAsia"/>
          <w:bCs/>
          <w:color w:val="000000"/>
          <w:szCs w:val="21"/>
        </w:rPr>
        <w:t>，其中偏股基金数据使用2</w:t>
      </w:r>
      <w:r w:rsidR="00890D09" w:rsidRPr="00697C7E">
        <w:rPr>
          <w:rFonts w:ascii="宋体" w:eastAsia="宋体" w:hAnsi="宋体" w:cs="Times New Roman"/>
          <w:bCs/>
          <w:color w:val="000000"/>
          <w:szCs w:val="21"/>
        </w:rPr>
        <w:t>3Q1</w:t>
      </w:r>
      <w:r w:rsidR="00890D09" w:rsidRPr="00697C7E">
        <w:rPr>
          <w:rFonts w:ascii="宋体" w:eastAsia="宋体" w:hAnsi="宋体" w:cs="Times New Roman" w:hint="eastAsia"/>
          <w:bCs/>
          <w:color w:val="000000"/>
          <w:szCs w:val="21"/>
        </w:rPr>
        <w:t>季报重仓股数据</w:t>
      </w:r>
    </w:p>
    <w:p w14:paraId="4AD22773" w14:textId="594B85DB" w:rsidR="00536806" w:rsidRPr="005E6897" w:rsidRDefault="00536806" w:rsidP="00C2550E">
      <w:pPr>
        <w:spacing w:line="360" w:lineRule="auto"/>
        <w:rPr>
          <w:rFonts w:ascii="宋体" w:eastAsia="宋体" w:hAnsi="宋体"/>
          <w:sz w:val="24"/>
          <w:szCs w:val="24"/>
        </w:rPr>
      </w:pPr>
      <w:r w:rsidRPr="005E6897">
        <w:rPr>
          <w:rFonts w:ascii="宋体" w:eastAsia="宋体" w:hAnsi="宋体"/>
          <w:sz w:val="24"/>
          <w:szCs w:val="24"/>
        </w:rPr>
        <w:tab/>
      </w:r>
      <w:r w:rsidRPr="005E6897">
        <w:rPr>
          <w:rFonts w:ascii="宋体" w:eastAsia="宋体" w:hAnsi="宋体" w:hint="eastAsia"/>
          <w:sz w:val="24"/>
          <w:szCs w:val="24"/>
        </w:rPr>
        <w:t>通过比较中证红利指数</w:t>
      </w:r>
      <w:r w:rsidR="00882D14" w:rsidRPr="005E6897">
        <w:rPr>
          <w:rFonts w:ascii="宋体" w:eastAsia="宋体" w:hAnsi="宋体" w:hint="eastAsia"/>
          <w:sz w:val="24"/>
          <w:szCs w:val="24"/>
        </w:rPr>
        <w:t>、偏股型基金和</w:t>
      </w:r>
      <w:r w:rsidRPr="005E6897">
        <w:rPr>
          <w:rFonts w:ascii="宋体" w:eastAsia="宋体" w:hAnsi="宋体" w:hint="eastAsia"/>
          <w:sz w:val="24"/>
          <w:szCs w:val="24"/>
        </w:rPr>
        <w:t>中特估指数的行业分布，可以观察到它们在成分股的行业偏好上存在一些</w:t>
      </w:r>
      <w:r w:rsidR="00B366AF">
        <w:rPr>
          <w:rFonts w:ascii="宋体" w:eastAsia="宋体" w:hAnsi="宋体" w:hint="eastAsia"/>
          <w:sz w:val="24"/>
          <w:szCs w:val="24"/>
        </w:rPr>
        <w:t>明显</w:t>
      </w:r>
      <w:r w:rsidR="003F3448">
        <w:rPr>
          <w:rFonts w:ascii="宋体" w:eastAsia="宋体" w:hAnsi="宋体" w:hint="eastAsia"/>
          <w:sz w:val="24"/>
          <w:szCs w:val="24"/>
        </w:rPr>
        <w:t>的</w:t>
      </w:r>
      <w:r w:rsidRPr="005E6897">
        <w:rPr>
          <w:rFonts w:ascii="宋体" w:eastAsia="宋体" w:hAnsi="宋体" w:hint="eastAsia"/>
          <w:sz w:val="24"/>
          <w:szCs w:val="24"/>
        </w:rPr>
        <w:t>差异。</w:t>
      </w:r>
    </w:p>
    <w:p w14:paraId="6F37DE9F" w14:textId="03CA0AFD" w:rsidR="00882D14" w:rsidRPr="005E6897" w:rsidRDefault="00882D14" w:rsidP="00C2550E">
      <w:pPr>
        <w:spacing w:line="360" w:lineRule="auto"/>
        <w:rPr>
          <w:rFonts w:ascii="宋体" w:eastAsia="宋体" w:hAnsi="宋体"/>
          <w:sz w:val="24"/>
          <w:szCs w:val="24"/>
        </w:rPr>
      </w:pPr>
      <w:r w:rsidRPr="005E6897">
        <w:rPr>
          <w:rFonts w:ascii="宋体" w:eastAsia="宋体" w:hAnsi="宋体"/>
          <w:sz w:val="24"/>
          <w:szCs w:val="24"/>
        </w:rPr>
        <w:tab/>
      </w:r>
      <w:r w:rsidRPr="005E6897">
        <w:rPr>
          <w:rFonts w:ascii="宋体" w:eastAsia="宋体" w:hAnsi="宋体" w:hint="eastAsia"/>
          <w:sz w:val="24"/>
          <w:szCs w:val="24"/>
        </w:rPr>
        <w:t>中证红利指数相对偏股基金低配的行业包括</w:t>
      </w:r>
      <w:r w:rsidRPr="003C00C4">
        <w:rPr>
          <w:rFonts w:ascii="宋体" w:eastAsia="宋体" w:hAnsi="宋体" w:hint="eastAsia"/>
          <w:b/>
          <w:bCs/>
          <w:sz w:val="24"/>
          <w:szCs w:val="24"/>
        </w:rPr>
        <w:t>食品饮料、医药生物、电力设备、</w:t>
      </w:r>
      <w:r w:rsidR="003C00C4">
        <w:rPr>
          <w:rFonts w:ascii="宋体" w:eastAsia="宋体" w:hAnsi="宋体" w:hint="eastAsia"/>
          <w:sz w:val="24"/>
          <w:szCs w:val="24"/>
        </w:rPr>
        <w:lastRenderedPageBreak/>
        <w:t>等</w:t>
      </w:r>
      <w:r w:rsidR="00697C7E">
        <w:rPr>
          <w:rFonts w:ascii="宋体" w:eastAsia="宋体" w:hAnsi="宋体" w:hint="eastAsia"/>
          <w:sz w:val="24"/>
          <w:szCs w:val="24"/>
        </w:rPr>
        <w:t>,</w:t>
      </w:r>
      <w:r w:rsidRPr="005E6897">
        <w:rPr>
          <w:rFonts w:ascii="宋体" w:eastAsia="宋体" w:hAnsi="宋体" w:hint="eastAsia"/>
          <w:sz w:val="24"/>
          <w:szCs w:val="24"/>
        </w:rPr>
        <w:t>这些行业在中证红利指数中的权重较低或为零。</w:t>
      </w:r>
    </w:p>
    <w:p w14:paraId="4D6469A1" w14:textId="0BFB22A3" w:rsidR="00882D14" w:rsidRPr="005E6897" w:rsidRDefault="00882D14" w:rsidP="00C2550E">
      <w:pPr>
        <w:spacing w:line="360" w:lineRule="auto"/>
        <w:ind w:firstLine="420"/>
        <w:rPr>
          <w:rFonts w:ascii="宋体" w:eastAsia="宋体" w:hAnsi="宋体"/>
          <w:sz w:val="24"/>
          <w:szCs w:val="24"/>
        </w:rPr>
      </w:pPr>
      <w:r w:rsidRPr="005E6897">
        <w:rPr>
          <w:rFonts w:ascii="宋体" w:eastAsia="宋体" w:hAnsi="宋体" w:hint="eastAsia"/>
          <w:sz w:val="24"/>
          <w:szCs w:val="24"/>
        </w:rPr>
        <w:t>中证红利指数相对偏股基金超配的行业包括</w:t>
      </w:r>
      <w:r w:rsidR="00380A6A" w:rsidRPr="00311009">
        <w:rPr>
          <w:rFonts w:ascii="宋体" w:eastAsia="宋体" w:hAnsi="宋体" w:hint="eastAsia"/>
          <w:b/>
          <w:bCs/>
          <w:sz w:val="24"/>
          <w:szCs w:val="24"/>
        </w:rPr>
        <w:t>银行、煤炭、</w:t>
      </w:r>
      <w:r w:rsidR="00AD20F3" w:rsidRPr="00311009">
        <w:rPr>
          <w:rFonts w:ascii="宋体" w:eastAsia="宋体" w:hAnsi="宋体" w:hint="eastAsia"/>
          <w:b/>
          <w:bCs/>
          <w:sz w:val="24"/>
          <w:szCs w:val="24"/>
        </w:rPr>
        <w:t>交通</w:t>
      </w:r>
      <w:r w:rsidR="007C58B5" w:rsidRPr="00311009">
        <w:rPr>
          <w:rFonts w:ascii="宋体" w:eastAsia="宋体" w:hAnsi="宋体" w:hint="eastAsia"/>
          <w:b/>
          <w:bCs/>
          <w:sz w:val="24"/>
          <w:szCs w:val="24"/>
        </w:rPr>
        <w:t>运输</w:t>
      </w:r>
      <w:r w:rsidR="00697C7E">
        <w:rPr>
          <w:rFonts w:ascii="宋体" w:eastAsia="宋体" w:hAnsi="宋体"/>
          <w:sz w:val="24"/>
          <w:szCs w:val="24"/>
        </w:rPr>
        <w:t>,</w:t>
      </w:r>
      <w:r w:rsidR="00BB2044">
        <w:rPr>
          <w:rFonts w:ascii="宋体" w:eastAsia="宋体" w:hAnsi="宋体" w:hint="eastAsia"/>
          <w:sz w:val="24"/>
          <w:szCs w:val="24"/>
        </w:rPr>
        <w:t>这些行业在偏股基金中相对较低。</w:t>
      </w:r>
    </w:p>
    <w:p w14:paraId="7B404841" w14:textId="5A12BBE3" w:rsidR="00536806" w:rsidRPr="005E6897" w:rsidRDefault="00882D14" w:rsidP="00C2550E">
      <w:pPr>
        <w:spacing w:line="360" w:lineRule="auto"/>
        <w:ind w:firstLine="420"/>
        <w:rPr>
          <w:rFonts w:ascii="宋体" w:eastAsia="宋体" w:hAnsi="宋体"/>
          <w:sz w:val="24"/>
          <w:szCs w:val="24"/>
        </w:rPr>
      </w:pPr>
      <w:r w:rsidRPr="005E6897">
        <w:rPr>
          <w:rFonts w:ascii="宋体" w:eastAsia="宋体" w:hAnsi="宋体" w:hint="eastAsia"/>
          <w:sz w:val="24"/>
          <w:szCs w:val="24"/>
        </w:rPr>
        <w:t>此外</w:t>
      </w:r>
      <w:r w:rsidR="00277EA4">
        <w:rPr>
          <w:rFonts w:ascii="宋体" w:eastAsia="宋体" w:hAnsi="宋体" w:hint="eastAsia"/>
          <w:sz w:val="24"/>
          <w:szCs w:val="24"/>
        </w:rPr>
        <w:t>，可以看出</w:t>
      </w:r>
      <w:r w:rsidRPr="005E6897">
        <w:rPr>
          <w:rFonts w:ascii="宋体" w:eastAsia="宋体" w:hAnsi="宋体" w:hint="eastAsia"/>
          <w:sz w:val="24"/>
          <w:szCs w:val="24"/>
        </w:rPr>
        <w:t>，整体上中证红利指数与中特估的行业权重分布更加接近，</w:t>
      </w:r>
      <w:r w:rsidR="00AD20F3">
        <w:rPr>
          <w:rFonts w:ascii="宋体" w:eastAsia="宋体" w:hAnsi="宋体" w:hint="eastAsia"/>
          <w:sz w:val="24"/>
          <w:szCs w:val="24"/>
        </w:rPr>
        <w:t>比如在银行、交通运输等行业都有较</w:t>
      </w:r>
      <w:r w:rsidR="00171EEA">
        <w:rPr>
          <w:rFonts w:ascii="宋体" w:eastAsia="宋体" w:hAnsi="宋体" w:hint="eastAsia"/>
          <w:sz w:val="24"/>
          <w:szCs w:val="24"/>
        </w:rPr>
        <w:t>高</w:t>
      </w:r>
      <w:r w:rsidR="00AD20F3">
        <w:rPr>
          <w:rFonts w:ascii="宋体" w:eastAsia="宋体" w:hAnsi="宋体" w:hint="eastAsia"/>
          <w:sz w:val="24"/>
          <w:szCs w:val="24"/>
        </w:rPr>
        <w:t>权重</w:t>
      </w:r>
      <w:r w:rsidRPr="005E6897">
        <w:rPr>
          <w:rFonts w:ascii="宋体" w:eastAsia="宋体" w:hAnsi="宋体" w:hint="eastAsia"/>
          <w:sz w:val="24"/>
          <w:szCs w:val="24"/>
        </w:rPr>
        <w:t>。</w:t>
      </w:r>
    </w:p>
    <w:p w14:paraId="33327452" w14:textId="77777777" w:rsidR="00536806" w:rsidRPr="005E6897" w:rsidRDefault="00536806" w:rsidP="00C2550E">
      <w:pPr>
        <w:spacing w:line="360" w:lineRule="auto"/>
        <w:rPr>
          <w:rFonts w:ascii="宋体" w:eastAsia="宋体" w:hAnsi="宋体"/>
          <w:sz w:val="24"/>
          <w:szCs w:val="24"/>
        </w:rPr>
      </w:pPr>
    </w:p>
    <w:p w14:paraId="2CD82287" w14:textId="0F2E2ECB" w:rsidR="00BC3045" w:rsidRDefault="00C677C0" w:rsidP="00C2550E">
      <w:pPr>
        <w:spacing w:line="360" w:lineRule="auto"/>
        <w:rPr>
          <w:rFonts w:ascii="宋体" w:eastAsia="宋体" w:hAnsi="宋体"/>
          <w:b/>
          <w:bCs/>
          <w:sz w:val="24"/>
          <w:szCs w:val="24"/>
        </w:rPr>
      </w:pPr>
      <w:r w:rsidRPr="005E6897">
        <w:rPr>
          <w:rFonts w:ascii="宋体" w:eastAsia="宋体" w:hAnsi="宋体" w:hint="eastAsia"/>
          <w:b/>
          <w:bCs/>
          <w:sz w:val="24"/>
          <w:szCs w:val="24"/>
        </w:rPr>
        <w:t>四</w:t>
      </w:r>
      <w:r w:rsidR="00536806" w:rsidRPr="005E6897">
        <w:rPr>
          <w:rFonts w:ascii="宋体" w:eastAsia="宋体" w:hAnsi="宋体" w:hint="eastAsia"/>
          <w:b/>
          <w:bCs/>
          <w:sz w:val="24"/>
          <w:szCs w:val="24"/>
        </w:rPr>
        <w:t>、产品相关</w:t>
      </w:r>
    </w:p>
    <w:p w14:paraId="446AE396" w14:textId="79762014" w:rsidR="008F1579" w:rsidRPr="005E6897" w:rsidRDefault="008F1579" w:rsidP="00C2550E">
      <w:pPr>
        <w:spacing w:line="360" w:lineRule="auto"/>
        <w:rPr>
          <w:rFonts w:ascii="宋体" w:eastAsia="宋体" w:hAnsi="宋体"/>
          <w:b/>
          <w:bCs/>
          <w:sz w:val="24"/>
          <w:szCs w:val="24"/>
        </w:rPr>
      </w:pPr>
      <w:r>
        <w:rPr>
          <w:rFonts w:ascii="宋体" w:eastAsia="宋体" w:hAnsi="宋体"/>
          <w:b/>
          <w:bCs/>
          <w:sz w:val="24"/>
          <w:szCs w:val="24"/>
        </w:rPr>
        <w:tab/>
      </w:r>
      <w:r w:rsidRPr="008B7554">
        <w:rPr>
          <w:rFonts w:ascii="宋体" w:eastAsia="宋体" w:hAnsi="宋体" w:hint="eastAsia"/>
          <w:sz w:val="24"/>
          <w:szCs w:val="24"/>
        </w:rPr>
        <w:t>在具体的指数上，我们列举了市场上主流的红利指数，并在右侧列明了他们的主要特点，</w:t>
      </w:r>
      <w:r w:rsidR="005A5563" w:rsidRPr="008B7554">
        <w:rPr>
          <w:rFonts w:ascii="宋体" w:eastAsia="宋体" w:hAnsi="宋体" w:hint="eastAsia"/>
          <w:sz w:val="24"/>
          <w:szCs w:val="24"/>
        </w:rPr>
        <w:t>各个指数的</w:t>
      </w:r>
      <w:r w:rsidR="00872ABA" w:rsidRPr="008B7554">
        <w:rPr>
          <w:rFonts w:ascii="宋体" w:eastAsia="宋体" w:hAnsi="宋体" w:hint="eastAsia"/>
          <w:sz w:val="24"/>
          <w:szCs w:val="24"/>
        </w:rPr>
        <w:t>主要</w:t>
      </w:r>
      <w:r w:rsidR="005A5563" w:rsidRPr="008B7554">
        <w:rPr>
          <w:rFonts w:ascii="宋体" w:eastAsia="宋体" w:hAnsi="宋体" w:hint="eastAsia"/>
          <w:sz w:val="24"/>
          <w:szCs w:val="24"/>
        </w:rPr>
        <w:t>区别</w:t>
      </w:r>
      <w:r w:rsidR="00872ABA" w:rsidRPr="008B7554">
        <w:rPr>
          <w:rFonts w:ascii="宋体" w:eastAsia="宋体" w:hAnsi="宋体" w:hint="eastAsia"/>
          <w:sz w:val="24"/>
          <w:szCs w:val="24"/>
        </w:rPr>
        <w:t>体现在</w:t>
      </w:r>
      <w:r w:rsidR="005A5563" w:rsidRPr="008B7554">
        <w:rPr>
          <w:rFonts w:ascii="宋体" w:eastAsia="宋体" w:hAnsi="宋体" w:hint="eastAsia"/>
          <w:sz w:val="24"/>
          <w:szCs w:val="24"/>
        </w:rPr>
        <w:t>选样空间</w:t>
      </w:r>
      <w:r w:rsidR="00697C7E">
        <w:rPr>
          <w:rFonts w:ascii="宋体" w:eastAsia="宋体" w:hAnsi="宋体" w:hint="eastAsia"/>
          <w:sz w:val="24"/>
          <w:szCs w:val="24"/>
        </w:rPr>
        <w:t>和</w:t>
      </w:r>
      <w:r w:rsidR="005A5563" w:rsidRPr="008B7554">
        <w:rPr>
          <w:rFonts w:ascii="宋体" w:eastAsia="宋体" w:hAnsi="宋体" w:hint="eastAsia"/>
          <w:sz w:val="24"/>
          <w:szCs w:val="24"/>
        </w:rPr>
        <w:t>加权方式</w:t>
      </w:r>
      <w:r w:rsidR="00697C7E">
        <w:rPr>
          <w:rFonts w:ascii="宋体" w:eastAsia="宋体" w:hAnsi="宋体" w:hint="eastAsia"/>
          <w:sz w:val="24"/>
          <w:szCs w:val="24"/>
        </w:rPr>
        <w:t>上</w:t>
      </w:r>
      <w:r w:rsidR="005A5563" w:rsidRPr="008B7554">
        <w:rPr>
          <w:rFonts w:ascii="宋体" w:eastAsia="宋体" w:hAnsi="宋体" w:hint="eastAsia"/>
          <w:sz w:val="24"/>
          <w:szCs w:val="24"/>
        </w:rPr>
        <w:t>。</w:t>
      </w:r>
    </w:p>
    <w:p w14:paraId="4BD5EB81" w14:textId="52C7C9DA" w:rsidR="00A46EAD" w:rsidRPr="005E6897" w:rsidRDefault="00A46EAD" w:rsidP="00C2550E">
      <w:pPr>
        <w:spacing w:line="360" w:lineRule="auto"/>
        <w:jc w:val="center"/>
        <w:rPr>
          <w:rFonts w:ascii="宋体" w:eastAsia="宋体" w:hAnsi="宋体"/>
          <w:b/>
          <w:bCs/>
          <w:sz w:val="24"/>
          <w:szCs w:val="24"/>
        </w:rPr>
      </w:pPr>
      <w:r w:rsidRPr="005E6897">
        <w:rPr>
          <w:rFonts w:ascii="宋体" w:eastAsia="宋体" w:hAnsi="宋体" w:hint="eastAsia"/>
          <w:sz w:val="24"/>
          <w:szCs w:val="24"/>
        </w:rPr>
        <w:t>图：代表性红利指数及其特点</w:t>
      </w:r>
    </w:p>
    <w:p w14:paraId="29A90078" w14:textId="5E1082FB" w:rsidR="00735472" w:rsidRPr="005E6897" w:rsidRDefault="00872ABA" w:rsidP="006435B4">
      <w:pPr>
        <w:spacing w:line="360" w:lineRule="auto"/>
        <w:jc w:val="center"/>
        <w:rPr>
          <w:rFonts w:ascii="宋体" w:eastAsia="宋体" w:hAnsi="宋体"/>
          <w:sz w:val="24"/>
          <w:szCs w:val="24"/>
        </w:rPr>
      </w:pPr>
      <w:r w:rsidRPr="00872ABA">
        <w:rPr>
          <w:noProof/>
        </w:rPr>
        <w:drawing>
          <wp:inline distT="0" distB="0" distL="0" distR="0" wp14:anchorId="7CD5734F" wp14:editId="203C0F2E">
            <wp:extent cx="4184295" cy="1808131"/>
            <wp:effectExtent l="0" t="0" r="6985" b="1905"/>
            <wp:docPr id="4885093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6647" cy="1809147"/>
                    </a:xfrm>
                    <a:prstGeom prst="rect">
                      <a:avLst/>
                    </a:prstGeom>
                    <a:noFill/>
                    <a:ln>
                      <a:noFill/>
                    </a:ln>
                  </pic:spPr>
                </pic:pic>
              </a:graphicData>
            </a:graphic>
          </wp:inline>
        </w:drawing>
      </w:r>
    </w:p>
    <w:p w14:paraId="7FAEE263" w14:textId="5232C872" w:rsidR="003601FB" w:rsidRPr="005E6897" w:rsidRDefault="00A46EAD" w:rsidP="003D5D93">
      <w:pPr>
        <w:spacing w:line="360" w:lineRule="auto"/>
        <w:jc w:val="center"/>
        <w:rPr>
          <w:rFonts w:ascii="宋体" w:eastAsia="宋体" w:hAnsi="宋体"/>
          <w:sz w:val="24"/>
          <w:szCs w:val="24"/>
        </w:rPr>
      </w:pPr>
      <w:r w:rsidRPr="005E6897">
        <w:rPr>
          <w:rFonts w:ascii="宋体" w:eastAsia="宋体" w:hAnsi="宋体" w:cs="Times New Roman"/>
          <w:bCs/>
          <w:color w:val="000000"/>
          <w:sz w:val="18"/>
          <w:szCs w:val="24"/>
        </w:rPr>
        <w:t>资料来源：</w:t>
      </w:r>
      <w:r w:rsidR="00EF523C">
        <w:rPr>
          <w:rFonts w:ascii="宋体" w:eastAsia="宋体" w:hAnsi="宋体" w:cs="Times New Roman" w:hint="eastAsia"/>
          <w:bCs/>
          <w:color w:val="000000"/>
          <w:sz w:val="18"/>
          <w:szCs w:val="24"/>
        </w:rPr>
        <w:t>Wind</w:t>
      </w:r>
    </w:p>
    <w:p w14:paraId="732FE467" w14:textId="77777777" w:rsidR="003601FB" w:rsidRPr="005E6897" w:rsidRDefault="00C677C0" w:rsidP="00C2550E">
      <w:pPr>
        <w:spacing w:line="360" w:lineRule="auto"/>
        <w:rPr>
          <w:rFonts w:ascii="宋体" w:eastAsia="宋体" w:hAnsi="宋体"/>
          <w:b/>
          <w:bCs/>
          <w:sz w:val="24"/>
          <w:szCs w:val="24"/>
        </w:rPr>
      </w:pPr>
      <w:r w:rsidRPr="005E6897">
        <w:rPr>
          <w:rFonts w:ascii="宋体" w:eastAsia="宋体" w:hAnsi="宋体" w:hint="eastAsia"/>
          <w:b/>
          <w:bCs/>
          <w:sz w:val="24"/>
          <w:szCs w:val="24"/>
        </w:rPr>
        <w:t>五</w:t>
      </w:r>
      <w:r w:rsidR="003601FB" w:rsidRPr="005E6897">
        <w:rPr>
          <w:rFonts w:ascii="宋体" w:eastAsia="宋体" w:hAnsi="宋体"/>
          <w:b/>
          <w:bCs/>
          <w:sz w:val="24"/>
          <w:szCs w:val="24"/>
        </w:rPr>
        <w:t>、市场展望</w:t>
      </w:r>
    </w:p>
    <w:p w14:paraId="0F5A27C0" w14:textId="01A138B6" w:rsidR="0020433E" w:rsidRPr="005E6897" w:rsidRDefault="0020433E" w:rsidP="00C2550E">
      <w:pPr>
        <w:spacing w:line="360" w:lineRule="auto"/>
        <w:rPr>
          <w:rFonts w:ascii="宋体" w:eastAsia="宋体" w:hAnsi="宋体"/>
          <w:sz w:val="24"/>
          <w:szCs w:val="24"/>
        </w:rPr>
      </w:pPr>
      <w:r w:rsidRPr="005E6897">
        <w:rPr>
          <w:rFonts w:ascii="宋体" w:eastAsia="宋体" w:hAnsi="宋体"/>
          <w:sz w:val="24"/>
          <w:szCs w:val="24"/>
        </w:rPr>
        <w:tab/>
      </w:r>
      <w:r w:rsidR="007232B7">
        <w:rPr>
          <w:rFonts w:ascii="宋体" w:eastAsia="宋体" w:hAnsi="宋体" w:hint="eastAsia"/>
          <w:sz w:val="24"/>
          <w:szCs w:val="24"/>
        </w:rPr>
        <w:t>今年以来，红利指数表现较为亮眼。</w:t>
      </w:r>
      <w:r w:rsidR="00651C82">
        <w:rPr>
          <w:rFonts w:ascii="宋体" w:eastAsia="宋体" w:hAnsi="宋体" w:hint="eastAsia"/>
          <w:sz w:val="24"/>
          <w:szCs w:val="24"/>
        </w:rPr>
        <w:t>放眼</w:t>
      </w:r>
      <w:r w:rsidR="000A6DA5">
        <w:rPr>
          <w:rFonts w:ascii="宋体" w:eastAsia="宋体" w:hAnsi="宋体" w:hint="eastAsia"/>
          <w:sz w:val="24"/>
          <w:szCs w:val="24"/>
        </w:rPr>
        <w:t>后市</w:t>
      </w:r>
      <w:r w:rsidRPr="005E6897">
        <w:rPr>
          <w:rFonts w:ascii="宋体" w:eastAsia="宋体" w:hAnsi="宋体" w:hint="eastAsia"/>
          <w:sz w:val="24"/>
          <w:szCs w:val="24"/>
        </w:rPr>
        <w:t>，红利投资有一定机会，但</w:t>
      </w:r>
      <w:r w:rsidR="00B34AFC">
        <w:rPr>
          <w:rFonts w:ascii="宋体" w:eastAsia="宋体" w:hAnsi="宋体" w:hint="eastAsia"/>
          <w:sz w:val="24"/>
          <w:szCs w:val="24"/>
        </w:rPr>
        <w:t>高股息股票今年以来也录得不少的涨幅，</w:t>
      </w:r>
      <w:r w:rsidR="00455851">
        <w:rPr>
          <w:rFonts w:ascii="宋体" w:eastAsia="宋体" w:hAnsi="宋体" w:hint="eastAsia"/>
          <w:sz w:val="24"/>
          <w:szCs w:val="24"/>
        </w:rPr>
        <w:t>因此</w:t>
      </w:r>
      <w:r w:rsidRPr="005E6897">
        <w:rPr>
          <w:rFonts w:ascii="宋体" w:eastAsia="宋体" w:hAnsi="宋体" w:hint="eastAsia"/>
          <w:sz w:val="24"/>
          <w:szCs w:val="24"/>
        </w:rPr>
        <w:t>存在一些风险因素。</w:t>
      </w:r>
      <w:r w:rsidR="0042633B">
        <w:rPr>
          <w:rFonts w:ascii="宋体" w:eastAsia="宋体" w:hAnsi="宋体" w:hint="eastAsia"/>
          <w:sz w:val="24"/>
          <w:szCs w:val="24"/>
        </w:rPr>
        <w:t>此外，</w:t>
      </w:r>
      <w:r w:rsidR="000656C9">
        <w:rPr>
          <w:rFonts w:ascii="宋体" w:eastAsia="宋体" w:hAnsi="宋体" w:hint="eastAsia"/>
          <w:sz w:val="24"/>
          <w:szCs w:val="24"/>
        </w:rPr>
        <w:t>虽然</w:t>
      </w:r>
      <w:r w:rsidR="00EC0258">
        <w:rPr>
          <w:rFonts w:ascii="宋体" w:eastAsia="宋体" w:hAnsi="宋体" w:hint="eastAsia"/>
          <w:sz w:val="24"/>
          <w:szCs w:val="24"/>
        </w:rPr>
        <w:t>我们了解红利指数在震荡市或熊市表现可能突出，但市场状态的判断却不是一件容易的事</w:t>
      </w:r>
      <w:r w:rsidR="00506714">
        <w:rPr>
          <w:rFonts w:ascii="宋体" w:eastAsia="宋体" w:hAnsi="宋体" w:hint="eastAsia"/>
          <w:sz w:val="24"/>
          <w:szCs w:val="24"/>
        </w:rPr>
        <w:t>，如果市场切换到牛市状态，则可能持续跑输</w:t>
      </w:r>
      <w:r w:rsidRPr="005E6897">
        <w:rPr>
          <w:rFonts w:ascii="宋体" w:eastAsia="宋体" w:hAnsi="宋体" w:hint="eastAsia"/>
          <w:sz w:val="24"/>
          <w:szCs w:val="24"/>
        </w:rPr>
        <w:t>。</w:t>
      </w:r>
      <w:r w:rsidR="00B108DB">
        <w:rPr>
          <w:rFonts w:ascii="宋体" w:eastAsia="宋体" w:hAnsi="宋体" w:hint="eastAsia"/>
          <w:sz w:val="24"/>
          <w:szCs w:val="24"/>
        </w:rPr>
        <w:t>在当前的情况</w:t>
      </w:r>
      <w:r w:rsidR="00C75FD2">
        <w:rPr>
          <w:rFonts w:ascii="宋体" w:eastAsia="宋体" w:hAnsi="宋体" w:hint="eastAsia"/>
          <w:sz w:val="24"/>
          <w:szCs w:val="24"/>
        </w:rPr>
        <w:t>下</w:t>
      </w:r>
      <w:r w:rsidRPr="005E6897">
        <w:rPr>
          <w:rFonts w:ascii="宋体" w:eastAsia="宋体" w:hAnsi="宋体" w:hint="eastAsia"/>
          <w:sz w:val="24"/>
          <w:szCs w:val="24"/>
        </w:rPr>
        <w:t>，建议投资者采取均衡配置的策略，将投资资金分散到不同投资</w:t>
      </w:r>
      <w:r w:rsidR="00C01B9A">
        <w:rPr>
          <w:rFonts w:ascii="宋体" w:eastAsia="宋体" w:hAnsi="宋体" w:hint="eastAsia"/>
          <w:sz w:val="24"/>
          <w:szCs w:val="24"/>
        </w:rPr>
        <w:t>风格</w:t>
      </w:r>
      <w:r w:rsidR="00464E51">
        <w:rPr>
          <w:rFonts w:ascii="宋体" w:eastAsia="宋体" w:hAnsi="宋体" w:hint="eastAsia"/>
          <w:sz w:val="24"/>
          <w:szCs w:val="24"/>
        </w:rPr>
        <w:t>的产品</w:t>
      </w:r>
      <w:r w:rsidRPr="005E6897">
        <w:rPr>
          <w:rFonts w:ascii="宋体" w:eastAsia="宋体" w:hAnsi="宋体" w:hint="eastAsia"/>
          <w:sz w:val="24"/>
          <w:szCs w:val="24"/>
        </w:rPr>
        <w:t>中。这样可以降低单一投资标的带来的风险，并且能够在不同的市场环境下获得更好的投资回报。</w:t>
      </w:r>
    </w:p>
    <w:p w14:paraId="10B3AC9F" w14:textId="77777777" w:rsidR="0020433E" w:rsidRDefault="0020433E" w:rsidP="00C2550E">
      <w:pPr>
        <w:spacing w:line="360" w:lineRule="auto"/>
        <w:ind w:firstLine="420"/>
        <w:rPr>
          <w:rFonts w:ascii="宋体" w:eastAsia="宋体" w:hAnsi="宋体"/>
          <w:sz w:val="24"/>
          <w:szCs w:val="24"/>
        </w:rPr>
      </w:pPr>
      <w:r w:rsidRPr="005E6897">
        <w:rPr>
          <w:rFonts w:ascii="宋体" w:eastAsia="宋体" w:hAnsi="宋体" w:hint="eastAsia"/>
          <w:sz w:val="24"/>
          <w:szCs w:val="24"/>
        </w:rPr>
        <w:t>在做出投资决策时，也可以考虑寻求专业的基金投顾的帮助。基金投顾具备专业的投资知识和经验，能够根据市场情况和个人的风险偏好，为投资者提供合适的投资建议和组合配置。</w:t>
      </w:r>
    </w:p>
    <w:p w14:paraId="019C2AEF" w14:textId="77777777" w:rsidR="00A10DEC" w:rsidRPr="00121D48" w:rsidRDefault="00A10DEC" w:rsidP="00C2550E">
      <w:pPr>
        <w:spacing w:line="360" w:lineRule="auto"/>
        <w:ind w:firstLine="420"/>
        <w:rPr>
          <w:rFonts w:ascii="宋体" w:eastAsia="宋体" w:hAnsi="宋体"/>
          <w:sz w:val="24"/>
          <w:szCs w:val="24"/>
        </w:rPr>
      </w:pPr>
    </w:p>
    <w:p w14:paraId="2EAF4B7A" w14:textId="77777777" w:rsidR="00E703B6" w:rsidRPr="005E6897" w:rsidRDefault="00E703B6" w:rsidP="00C2550E">
      <w:pPr>
        <w:spacing w:line="360" w:lineRule="auto"/>
        <w:ind w:firstLine="420"/>
        <w:rPr>
          <w:rFonts w:ascii="宋体" w:eastAsia="宋体" w:hAnsi="宋体"/>
          <w:sz w:val="24"/>
          <w:szCs w:val="24"/>
        </w:rPr>
      </w:pPr>
    </w:p>
    <w:sectPr w:rsidR="00E703B6" w:rsidRPr="005E68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1F784" w14:textId="77777777" w:rsidR="006A0331" w:rsidRDefault="006A0331" w:rsidP="006D0EE8">
      <w:r>
        <w:separator/>
      </w:r>
    </w:p>
  </w:endnote>
  <w:endnote w:type="continuationSeparator" w:id="0">
    <w:p w14:paraId="737E78AD" w14:textId="77777777" w:rsidR="006A0331" w:rsidRDefault="006A0331" w:rsidP="006D0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altName w:val="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0718B" w14:textId="77777777" w:rsidR="006A0331" w:rsidRDefault="006A0331" w:rsidP="006D0EE8">
      <w:r>
        <w:separator/>
      </w:r>
    </w:p>
  </w:footnote>
  <w:footnote w:type="continuationSeparator" w:id="0">
    <w:p w14:paraId="3DD2099B" w14:textId="77777777" w:rsidR="006A0331" w:rsidRDefault="006A0331" w:rsidP="006D0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4579F"/>
    <w:multiLevelType w:val="hybridMultilevel"/>
    <w:tmpl w:val="B0F8D186"/>
    <w:lvl w:ilvl="0" w:tplc="ADFE7F0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94086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E1"/>
    <w:rsid w:val="00002B33"/>
    <w:rsid w:val="00036B26"/>
    <w:rsid w:val="000378B3"/>
    <w:rsid w:val="00042152"/>
    <w:rsid w:val="000656C9"/>
    <w:rsid w:val="000A1682"/>
    <w:rsid w:val="000A6DA5"/>
    <w:rsid w:val="000D4743"/>
    <w:rsid w:val="000E08D9"/>
    <w:rsid w:val="00121D48"/>
    <w:rsid w:val="00146BF9"/>
    <w:rsid w:val="00153251"/>
    <w:rsid w:val="00171EEA"/>
    <w:rsid w:val="00181DE0"/>
    <w:rsid w:val="001854D0"/>
    <w:rsid w:val="00185D34"/>
    <w:rsid w:val="001A7D41"/>
    <w:rsid w:val="001C6B91"/>
    <w:rsid w:val="001D677D"/>
    <w:rsid w:val="0020433E"/>
    <w:rsid w:val="00224FF8"/>
    <w:rsid w:val="00273A9A"/>
    <w:rsid w:val="00277EA4"/>
    <w:rsid w:val="0028448E"/>
    <w:rsid w:val="002B1B75"/>
    <w:rsid w:val="002C4C39"/>
    <w:rsid w:val="002D2EA7"/>
    <w:rsid w:val="002D4F3C"/>
    <w:rsid w:val="002E6F01"/>
    <w:rsid w:val="002F2608"/>
    <w:rsid w:val="00311009"/>
    <w:rsid w:val="00323DA9"/>
    <w:rsid w:val="00341E48"/>
    <w:rsid w:val="003601FB"/>
    <w:rsid w:val="003760AE"/>
    <w:rsid w:val="00380A6A"/>
    <w:rsid w:val="003822E1"/>
    <w:rsid w:val="0038574A"/>
    <w:rsid w:val="003947BA"/>
    <w:rsid w:val="00395431"/>
    <w:rsid w:val="003B575A"/>
    <w:rsid w:val="003B7647"/>
    <w:rsid w:val="003C00C4"/>
    <w:rsid w:val="003C1153"/>
    <w:rsid w:val="003C3FE1"/>
    <w:rsid w:val="003D0A92"/>
    <w:rsid w:val="003D5D93"/>
    <w:rsid w:val="003F3448"/>
    <w:rsid w:val="00403A83"/>
    <w:rsid w:val="0040742F"/>
    <w:rsid w:val="0042633B"/>
    <w:rsid w:val="00435965"/>
    <w:rsid w:val="00455851"/>
    <w:rsid w:val="00464E51"/>
    <w:rsid w:val="004807C2"/>
    <w:rsid w:val="004E49E8"/>
    <w:rsid w:val="00501147"/>
    <w:rsid w:val="00506714"/>
    <w:rsid w:val="0052719D"/>
    <w:rsid w:val="00530135"/>
    <w:rsid w:val="00536806"/>
    <w:rsid w:val="005720A6"/>
    <w:rsid w:val="0057631D"/>
    <w:rsid w:val="005A5563"/>
    <w:rsid w:val="005C1F11"/>
    <w:rsid w:val="005E6897"/>
    <w:rsid w:val="00610C03"/>
    <w:rsid w:val="006178DE"/>
    <w:rsid w:val="006368D8"/>
    <w:rsid w:val="00636FE2"/>
    <w:rsid w:val="006435B4"/>
    <w:rsid w:val="00651C82"/>
    <w:rsid w:val="00690770"/>
    <w:rsid w:val="00697C7E"/>
    <w:rsid w:val="006A0331"/>
    <w:rsid w:val="006B3466"/>
    <w:rsid w:val="006D0EE8"/>
    <w:rsid w:val="00721310"/>
    <w:rsid w:val="007232B7"/>
    <w:rsid w:val="00734D59"/>
    <w:rsid w:val="00735472"/>
    <w:rsid w:val="007844EC"/>
    <w:rsid w:val="00797960"/>
    <w:rsid w:val="007C58B5"/>
    <w:rsid w:val="007D72D0"/>
    <w:rsid w:val="007E5AAB"/>
    <w:rsid w:val="00817B42"/>
    <w:rsid w:val="00822AED"/>
    <w:rsid w:val="0086407B"/>
    <w:rsid w:val="00872ABA"/>
    <w:rsid w:val="00882D14"/>
    <w:rsid w:val="00890D09"/>
    <w:rsid w:val="008B695F"/>
    <w:rsid w:val="008B7554"/>
    <w:rsid w:val="008F1579"/>
    <w:rsid w:val="008F43DA"/>
    <w:rsid w:val="00907F6A"/>
    <w:rsid w:val="0094167E"/>
    <w:rsid w:val="009514B7"/>
    <w:rsid w:val="00956B4F"/>
    <w:rsid w:val="009628D8"/>
    <w:rsid w:val="009850E3"/>
    <w:rsid w:val="009B1B01"/>
    <w:rsid w:val="009E03EC"/>
    <w:rsid w:val="009E3157"/>
    <w:rsid w:val="00A0409D"/>
    <w:rsid w:val="00A10DEC"/>
    <w:rsid w:val="00A13D68"/>
    <w:rsid w:val="00A33241"/>
    <w:rsid w:val="00A42C6D"/>
    <w:rsid w:val="00A46EAD"/>
    <w:rsid w:val="00A51D9E"/>
    <w:rsid w:val="00A766E8"/>
    <w:rsid w:val="00A85329"/>
    <w:rsid w:val="00A974EA"/>
    <w:rsid w:val="00AB4481"/>
    <w:rsid w:val="00AC4D5A"/>
    <w:rsid w:val="00AD20F3"/>
    <w:rsid w:val="00AE57D3"/>
    <w:rsid w:val="00B108DB"/>
    <w:rsid w:val="00B12E66"/>
    <w:rsid w:val="00B15314"/>
    <w:rsid w:val="00B210FF"/>
    <w:rsid w:val="00B34AFC"/>
    <w:rsid w:val="00B366AF"/>
    <w:rsid w:val="00B37FC5"/>
    <w:rsid w:val="00B768C5"/>
    <w:rsid w:val="00B92879"/>
    <w:rsid w:val="00BA1C74"/>
    <w:rsid w:val="00BB2044"/>
    <w:rsid w:val="00BC3045"/>
    <w:rsid w:val="00BF1553"/>
    <w:rsid w:val="00C017DD"/>
    <w:rsid w:val="00C01B9A"/>
    <w:rsid w:val="00C2550E"/>
    <w:rsid w:val="00C34D6D"/>
    <w:rsid w:val="00C677C0"/>
    <w:rsid w:val="00C75FD2"/>
    <w:rsid w:val="00C775EA"/>
    <w:rsid w:val="00CB12D0"/>
    <w:rsid w:val="00CD411C"/>
    <w:rsid w:val="00CF361C"/>
    <w:rsid w:val="00CF4BAE"/>
    <w:rsid w:val="00D059A8"/>
    <w:rsid w:val="00D10C18"/>
    <w:rsid w:val="00D13D3C"/>
    <w:rsid w:val="00D30A6C"/>
    <w:rsid w:val="00DA1277"/>
    <w:rsid w:val="00DC36B9"/>
    <w:rsid w:val="00DF4981"/>
    <w:rsid w:val="00E00326"/>
    <w:rsid w:val="00E21C76"/>
    <w:rsid w:val="00E703B6"/>
    <w:rsid w:val="00E94313"/>
    <w:rsid w:val="00E97BF1"/>
    <w:rsid w:val="00EB59D5"/>
    <w:rsid w:val="00EC0258"/>
    <w:rsid w:val="00ED304A"/>
    <w:rsid w:val="00EE0624"/>
    <w:rsid w:val="00EF523C"/>
    <w:rsid w:val="00F11CF2"/>
    <w:rsid w:val="00F23C97"/>
    <w:rsid w:val="00F331F2"/>
    <w:rsid w:val="00F90389"/>
    <w:rsid w:val="00FD3CAD"/>
    <w:rsid w:val="00FF4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48642"/>
  <w15:chartTrackingRefBased/>
  <w15:docId w15:val="{D11B5658-1067-4057-A03E-2F5C80B7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6EAD"/>
    <w:pPr>
      <w:widowControl w:val="0"/>
      <w:jc w:val="both"/>
    </w:pPr>
    <w:rPr>
      <w:rFonts w:eastAsia="楷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54D0"/>
    <w:pPr>
      <w:ind w:firstLineChars="200" w:firstLine="420"/>
    </w:pPr>
  </w:style>
  <w:style w:type="paragraph" w:customStyle="1" w:styleId="SSGRAPHSOURCE">
    <w:name w:val="SS_GRAPH_SOURCE"/>
    <w:rsid w:val="00C677C0"/>
    <w:pPr>
      <w:widowControl w:val="0"/>
      <w:spacing w:line="200" w:lineRule="exact"/>
    </w:pPr>
    <w:rPr>
      <w:rFonts w:ascii="Arial" w:eastAsia="楷体" w:hAnsi="Arial" w:cs="Times New Roman"/>
      <w:color w:val="7F7F7F"/>
      <w:sz w:val="14"/>
    </w:rPr>
  </w:style>
  <w:style w:type="character" w:styleId="a4">
    <w:name w:val="annotation reference"/>
    <w:basedOn w:val="a0"/>
    <w:uiPriority w:val="99"/>
    <w:semiHidden/>
    <w:unhideWhenUsed/>
    <w:rsid w:val="000D4743"/>
    <w:rPr>
      <w:sz w:val="21"/>
      <w:szCs w:val="21"/>
    </w:rPr>
  </w:style>
  <w:style w:type="paragraph" w:styleId="a5">
    <w:name w:val="annotation text"/>
    <w:basedOn w:val="a"/>
    <w:link w:val="a6"/>
    <w:uiPriority w:val="99"/>
    <w:semiHidden/>
    <w:unhideWhenUsed/>
    <w:rsid w:val="000D4743"/>
    <w:pPr>
      <w:jc w:val="left"/>
    </w:pPr>
  </w:style>
  <w:style w:type="character" w:customStyle="1" w:styleId="a6">
    <w:name w:val="批注文字 字符"/>
    <w:basedOn w:val="a0"/>
    <w:link w:val="a5"/>
    <w:uiPriority w:val="99"/>
    <w:semiHidden/>
    <w:rsid w:val="000D4743"/>
  </w:style>
  <w:style w:type="paragraph" w:styleId="a7">
    <w:name w:val="annotation subject"/>
    <w:basedOn w:val="a5"/>
    <w:next w:val="a5"/>
    <w:link w:val="a8"/>
    <w:uiPriority w:val="99"/>
    <w:semiHidden/>
    <w:unhideWhenUsed/>
    <w:rsid w:val="000D4743"/>
    <w:rPr>
      <w:b/>
      <w:bCs/>
    </w:rPr>
  </w:style>
  <w:style w:type="character" w:customStyle="1" w:styleId="a8">
    <w:name w:val="批注主题 字符"/>
    <w:basedOn w:val="a6"/>
    <w:link w:val="a7"/>
    <w:uiPriority w:val="99"/>
    <w:semiHidden/>
    <w:rsid w:val="000D4743"/>
    <w:rPr>
      <w:b/>
      <w:bCs/>
    </w:rPr>
  </w:style>
  <w:style w:type="paragraph" w:styleId="a9">
    <w:name w:val="Revision"/>
    <w:hidden/>
    <w:uiPriority w:val="99"/>
    <w:semiHidden/>
    <w:rsid w:val="00E97BF1"/>
  </w:style>
  <w:style w:type="paragraph" w:styleId="aa">
    <w:name w:val="header"/>
    <w:basedOn w:val="a"/>
    <w:link w:val="ab"/>
    <w:uiPriority w:val="99"/>
    <w:unhideWhenUsed/>
    <w:rsid w:val="006D0EE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D0EE8"/>
    <w:rPr>
      <w:sz w:val="18"/>
      <w:szCs w:val="18"/>
    </w:rPr>
  </w:style>
  <w:style w:type="paragraph" w:styleId="ac">
    <w:name w:val="footer"/>
    <w:basedOn w:val="a"/>
    <w:link w:val="ad"/>
    <w:uiPriority w:val="99"/>
    <w:unhideWhenUsed/>
    <w:rsid w:val="006D0EE8"/>
    <w:pPr>
      <w:tabs>
        <w:tab w:val="center" w:pos="4153"/>
        <w:tab w:val="right" w:pos="8306"/>
      </w:tabs>
      <w:snapToGrid w:val="0"/>
      <w:jc w:val="left"/>
    </w:pPr>
    <w:rPr>
      <w:sz w:val="18"/>
      <w:szCs w:val="18"/>
    </w:rPr>
  </w:style>
  <w:style w:type="character" w:customStyle="1" w:styleId="ad">
    <w:name w:val="页脚 字符"/>
    <w:basedOn w:val="a0"/>
    <w:link w:val="ac"/>
    <w:uiPriority w:val="99"/>
    <w:rsid w:val="006D0EE8"/>
    <w:rPr>
      <w:sz w:val="18"/>
      <w:szCs w:val="18"/>
    </w:rPr>
  </w:style>
  <w:style w:type="character" w:styleId="ae">
    <w:name w:val="Strong"/>
    <w:basedOn w:val="a0"/>
    <w:uiPriority w:val="22"/>
    <w:qFormat/>
    <w:rsid w:val="00E703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9449">
      <w:bodyDiv w:val="1"/>
      <w:marLeft w:val="0"/>
      <w:marRight w:val="0"/>
      <w:marTop w:val="0"/>
      <w:marBottom w:val="0"/>
      <w:divBdr>
        <w:top w:val="none" w:sz="0" w:space="0" w:color="auto"/>
        <w:left w:val="none" w:sz="0" w:space="0" w:color="auto"/>
        <w:bottom w:val="none" w:sz="0" w:space="0" w:color="auto"/>
        <w:right w:val="none" w:sz="0" w:space="0" w:color="auto"/>
      </w:divBdr>
    </w:div>
    <w:div w:id="153884053">
      <w:bodyDiv w:val="1"/>
      <w:marLeft w:val="0"/>
      <w:marRight w:val="0"/>
      <w:marTop w:val="0"/>
      <w:marBottom w:val="0"/>
      <w:divBdr>
        <w:top w:val="none" w:sz="0" w:space="0" w:color="auto"/>
        <w:left w:val="none" w:sz="0" w:space="0" w:color="auto"/>
        <w:bottom w:val="none" w:sz="0" w:space="0" w:color="auto"/>
        <w:right w:val="none" w:sz="0" w:space="0" w:color="auto"/>
      </w:divBdr>
    </w:div>
    <w:div w:id="400175928">
      <w:bodyDiv w:val="1"/>
      <w:marLeft w:val="0"/>
      <w:marRight w:val="0"/>
      <w:marTop w:val="0"/>
      <w:marBottom w:val="0"/>
      <w:divBdr>
        <w:top w:val="none" w:sz="0" w:space="0" w:color="auto"/>
        <w:left w:val="none" w:sz="0" w:space="0" w:color="auto"/>
        <w:bottom w:val="none" w:sz="0" w:space="0" w:color="auto"/>
        <w:right w:val="none" w:sz="0" w:space="0" w:color="auto"/>
      </w:divBdr>
    </w:div>
    <w:div w:id="600794901">
      <w:bodyDiv w:val="1"/>
      <w:marLeft w:val="0"/>
      <w:marRight w:val="0"/>
      <w:marTop w:val="0"/>
      <w:marBottom w:val="0"/>
      <w:divBdr>
        <w:top w:val="none" w:sz="0" w:space="0" w:color="auto"/>
        <w:left w:val="none" w:sz="0" w:space="0" w:color="auto"/>
        <w:bottom w:val="none" w:sz="0" w:space="0" w:color="auto"/>
        <w:right w:val="none" w:sz="0" w:space="0" w:color="auto"/>
      </w:divBdr>
    </w:div>
    <w:div w:id="925768719">
      <w:bodyDiv w:val="1"/>
      <w:marLeft w:val="0"/>
      <w:marRight w:val="0"/>
      <w:marTop w:val="0"/>
      <w:marBottom w:val="0"/>
      <w:divBdr>
        <w:top w:val="none" w:sz="0" w:space="0" w:color="auto"/>
        <w:left w:val="none" w:sz="0" w:space="0" w:color="auto"/>
        <w:bottom w:val="none" w:sz="0" w:space="0" w:color="auto"/>
        <w:right w:val="none" w:sz="0" w:space="0" w:color="auto"/>
      </w:divBdr>
    </w:div>
    <w:div w:id="928273768">
      <w:bodyDiv w:val="1"/>
      <w:marLeft w:val="0"/>
      <w:marRight w:val="0"/>
      <w:marTop w:val="0"/>
      <w:marBottom w:val="0"/>
      <w:divBdr>
        <w:top w:val="none" w:sz="0" w:space="0" w:color="auto"/>
        <w:left w:val="none" w:sz="0" w:space="0" w:color="auto"/>
        <w:bottom w:val="none" w:sz="0" w:space="0" w:color="auto"/>
        <w:right w:val="none" w:sz="0" w:space="0" w:color="auto"/>
      </w:divBdr>
    </w:div>
    <w:div w:id="998731100">
      <w:bodyDiv w:val="1"/>
      <w:marLeft w:val="0"/>
      <w:marRight w:val="0"/>
      <w:marTop w:val="0"/>
      <w:marBottom w:val="0"/>
      <w:divBdr>
        <w:top w:val="none" w:sz="0" w:space="0" w:color="auto"/>
        <w:left w:val="none" w:sz="0" w:space="0" w:color="auto"/>
        <w:bottom w:val="none" w:sz="0" w:space="0" w:color="auto"/>
        <w:right w:val="none" w:sz="0" w:space="0" w:color="auto"/>
      </w:divBdr>
    </w:div>
    <w:div w:id="1182621216">
      <w:bodyDiv w:val="1"/>
      <w:marLeft w:val="0"/>
      <w:marRight w:val="0"/>
      <w:marTop w:val="0"/>
      <w:marBottom w:val="0"/>
      <w:divBdr>
        <w:top w:val="none" w:sz="0" w:space="0" w:color="auto"/>
        <w:left w:val="none" w:sz="0" w:space="0" w:color="auto"/>
        <w:bottom w:val="none" w:sz="0" w:space="0" w:color="auto"/>
        <w:right w:val="none" w:sz="0" w:space="0" w:color="auto"/>
      </w:divBdr>
    </w:div>
    <w:div w:id="1725448635">
      <w:bodyDiv w:val="1"/>
      <w:marLeft w:val="0"/>
      <w:marRight w:val="0"/>
      <w:marTop w:val="0"/>
      <w:marBottom w:val="0"/>
      <w:divBdr>
        <w:top w:val="none" w:sz="0" w:space="0" w:color="auto"/>
        <w:left w:val="none" w:sz="0" w:space="0" w:color="auto"/>
        <w:bottom w:val="none" w:sz="0" w:space="0" w:color="auto"/>
        <w:right w:val="none" w:sz="0" w:space="0" w:color="auto"/>
      </w:divBdr>
    </w:div>
    <w:div w:id="1736127432">
      <w:bodyDiv w:val="1"/>
      <w:marLeft w:val="0"/>
      <w:marRight w:val="0"/>
      <w:marTop w:val="0"/>
      <w:marBottom w:val="0"/>
      <w:divBdr>
        <w:top w:val="none" w:sz="0" w:space="0" w:color="auto"/>
        <w:left w:val="none" w:sz="0" w:space="0" w:color="auto"/>
        <w:bottom w:val="none" w:sz="0" w:space="0" w:color="auto"/>
        <w:right w:val="none" w:sz="0" w:space="0" w:color="auto"/>
      </w:divBdr>
    </w:div>
    <w:div w:id="1765418786">
      <w:bodyDiv w:val="1"/>
      <w:marLeft w:val="0"/>
      <w:marRight w:val="0"/>
      <w:marTop w:val="0"/>
      <w:marBottom w:val="0"/>
      <w:divBdr>
        <w:top w:val="none" w:sz="0" w:space="0" w:color="auto"/>
        <w:left w:val="none" w:sz="0" w:space="0" w:color="auto"/>
        <w:bottom w:val="none" w:sz="0" w:space="0" w:color="auto"/>
        <w:right w:val="none" w:sz="0" w:space="0" w:color="auto"/>
      </w:divBdr>
    </w:div>
    <w:div w:id="1816875125">
      <w:bodyDiv w:val="1"/>
      <w:marLeft w:val="0"/>
      <w:marRight w:val="0"/>
      <w:marTop w:val="0"/>
      <w:marBottom w:val="0"/>
      <w:divBdr>
        <w:top w:val="none" w:sz="0" w:space="0" w:color="auto"/>
        <w:left w:val="none" w:sz="0" w:space="0" w:color="auto"/>
        <w:bottom w:val="none" w:sz="0" w:space="0" w:color="auto"/>
        <w:right w:val="none" w:sz="0" w:space="0" w:color="auto"/>
      </w:divBdr>
      <w:divsChild>
        <w:div w:id="590352829">
          <w:marLeft w:val="0"/>
          <w:marRight w:val="0"/>
          <w:marTop w:val="0"/>
          <w:marBottom w:val="0"/>
          <w:divBdr>
            <w:top w:val="single" w:sz="2" w:space="0" w:color="D9D9E3"/>
            <w:left w:val="single" w:sz="2" w:space="0" w:color="D9D9E3"/>
            <w:bottom w:val="single" w:sz="2" w:space="0" w:color="D9D9E3"/>
            <w:right w:val="single" w:sz="2" w:space="0" w:color="D9D9E3"/>
          </w:divBdr>
          <w:divsChild>
            <w:div w:id="2017877810">
              <w:marLeft w:val="0"/>
              <w:marRight w:val="0"/>
              <w:marTop w:val="0"/>
              <w:marBottom w:val="0"/>
              <w:divBdr>
                <w:top w:val="single" w:sz="2" w:space="0" w:color="D9D9E3"/>
                <w:left w:val="single" w:sz="2" w:space="0" w:color="D9D9E3"/>
                <w:bottom w:val="single" w:sz="2" w:space="0" w:color="D9D9E3"/>
                <w:right w:val="single" w:sz="2" w:space="0" w:color="D9D9E3"/>
              </w:divBdr>
              <w:divsChild>
                <w:div w:id="1134130217">
                  <w:marLeft w:val="0"/>
                  <w:marRight w:val="0"/>
                  <w:marTop w:val="0"/>
                  <w:marBottom w:val="0"/>
                  <w:divBdr>
                    <w:top w:val="single" w:sz="2" w:space="0" w:color="D9D9E3"/>
                    <w:left w:val="single" w:sz="2" w:space="0" w:color="D9D9E3"/>
                    <w:bottom w:val="single" w:sz="2" w:space="0" w:color="D9D9E3"/>
                    <w:right w:val="single" w:sz="2" w:space="0" w:color="D9D9E3"/>
                  </w:divBdr>
                  <w:divsChild>
                    <w:div w:id="1239680799">
                      <w:marLeft w:val="0"/>
                      <w:marRight w:val="0"/>
                      <w:marTop w:val="0"/>
                      <w:marBottom w:val="0"/>
                      <w:divBdr>
                        <w:top w:val="single" w:sz="2" w:space="0" w:color="D9D9E3"/>
                        <w:left w:val="single" w:sz="2" w:space="0" w:color="D9D9E3"/>
                        <w:bottom w:val="single" w:sz="2" w:space="0" w:color="D9D9E3"/>
                        <w:right w:val="single" w:sz="2" w:space="0" w:color="D9D9E3"/>
                      </w:divBdr>
                      <w:divsChild>
                        <w:div w:id="358241364">
                          <w:marLeft w:val="0"/>
                          <w:marRight w:val="0"/>
                          <w:marTop w:val="0"/>
                          <w:marBottom w:val="0"/>
                          <w:divBdr>
                            <w:top w:val="single" w:sz="2" w:space="0" w:color="auto"/>
                            <w:left w:val="single" w:sz="2" w:space="0" w:color="auto"/>
                            <w:bottom w:val="single" w:sz="6" w:space="0" w:color="auto"/>
                            <w:right w:val="single" w:sz="2" w:space="0" w:color="auto"/>
                          </w:divBdr>
                          <w:divsChild>
                            <w:div w:id="448815935">
                              <w:marLeft w:val="0"/>
                              <w:marRight w:val="0"/>
                              <w:marTop w:val="100"/>
                              <w:marBottom w:val="100"/>
                              <w:divBdr>
                                <w:top w:val="single" w:sz="2" w:space="0" w:color="D9D9E3"/>
                                <w:left w:val="single" w:sz="2" w:space="0" w:color="D9D9E3"/>
                                <w:bottom w:val="single" w:sz="2" w:space="0" w:color="D9D9E3"/>
                                <w:right w:val="single" w:sz="2" w:space="0" w:color="D9D9E3"/>
                              </w:divBdr>
                              <w:divsChild>
                                <w:div w:id="301617455">
                                  <w:marLeft w:val="0"/>
                                  <w:marRight w:val="0"/>
                                  <w:marTop w:val="0"/>
                                  <w:marBottom w:val="0"/>
                                  <w:divBdr>
                                    <w:top w:val="single" w:sz="2" w:space="0" w:color="D9D9E3"/>
                                    <w:left w:val="single" w:sz="2" w:space="0" w:color="D9D9E3"/>
                                    <w:bottom w:val="single" w:sz="2" w:space="0" w:color="D9D9E3"/>
                                    <w:right w:val="single" w:sz="2" w:space="0" w:color="D9D9E3"/>
                                  </w:divBdr>
                                  <w:divsChild>
                                    <w:div w:id="1685934850">
                                      <w:marLeft w:val="0"/>
                                      <w:marRight w:val="0"/>
                                      <w:marTop w:val="0"/>
                                      <w:marBottom w:val="0"/>
                                      <w:divBdr>
                                        <w:top w:val="single" w:sz="2" w:space="0" w:color="D9D9E3"/>
                                        <w:left w:val="single" w:sz="2" w:space="0" w:color="D9D9E3"/>
                                        <w:bottom w:val="single" w:sz="2" w:space="0" w:color="D9D9E3"/>
                                        <w:right w:val="single" w:sz="2" w:space="0" w:color="D9D9E3"/>
                                      </w:divBdr>
                                      <w:divsChild>
                                        <w:div w:id="326566354">
                                          <w:marLeft w:val="0"/>
                                          <w:marRight w:val="0"/>
                                          <w:marTop w:val="0"/>
                                          <w:marBottom w:val="0"/>
                                          <w:divBdr>
                                            <w:top w:val="single" w:sz="2" w:space="0" w:color="D9D9E3"/>
                                            <w:left w:val="single" w:sz="2" w:space="0" w:color="D9D9E3"/>
                                            <w:bottom w:val="single" w:sz="2" w:space="0" w:color="D9D9E3"/>
                                            <w:right w:val="single" w:sz="2" w:space="0" w:color="D9D9E3"/>
                                          </w:divBdr>
                                          <w:divsChild>
                                            <w:div w:id="1886289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214705">
          <w:marLeft w:val="0"/>
          <w:marRight w:val="0"/>
          <w:marTop w:val="0"/>
          <w:marBottom w:val="0"/>
          <w:divBdr>
            <w:top w:val="none" w:sz="0" w:space="0" w:color="auto"/>
            <w:left w:val="none" w:sz="0" w:space="0" w:color="auto"/>
            <w:bottom w:val="none" w:sz="0" w:space="0" w:color="auto"/>
            <w:right w:val="none" w:sz="0" w:space="0" w:color="auto"/>
          </w:divBdr>
        </w:div>
      </w:divsChild>
    </w:div>
    <w:div w:id="1840465801">
      <w:bodyDiv w:val="1"/>
      <w:marLeft w:val="0"/>
      <w:marRight w:val="0"/>
      <w:marTop w:val="0"/>
      <w:marBottom w:val="0"/>
      <w:divBdr>
        <w:top w:val="none" w:sz="0" w:space="0" w:color="auto"/>
        <w:left w:val="none" w:sz="0" w:space="0" w:color="auto"/>
        <w:bottom w:val="none" w:sz="0" w:space="0" w:color="auto"/>
        <w:right w:val="none" w:sz="0" w:space="0" w:color="auto"/>
      </w:divBdr>
    </w:div>
    <w:div w:id="1855995909">
      <w:bodyDiv w:val="1"/>
      <w:marLeft w:val="0"/>
      <w:marRight w:val="0"/>
      <w:marTop w:val="0"/>
      <w:marBottom w:val="0"/>
      <w:divBdr>
        <w:top w:val="none" w:sz="0" w:space="0" w:color="auto"/>
        <w:left w:val="none" w:sz="0" w:space="0" w:color="auto"/>
        <w:bottom w:val="none" w:sz="0" w:space="0" w:color="auto"/>
        <w:right w:val="none" w:sz="0" w:space="0" w:color="auto"/>
      </w:divBdr>
    </w:div>
    <w:div w:id="207535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A090F-92AF-42F5-94D6-F175BAC65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旭</dc:creator>
  <cp:keywords/>
  <dc:description/>
  <cp:lastModifiedBy>鸿 沈</cp:lastModifiedBy>
  <cp:revision>186</cp:revision>
  <dcterms:created xsi:type="dcterms:W3CDTF">2023-05-20T05:43:00Z</dcterms:created>
  <dcterms:modified xsi:type="dcterms:W3CDTF">2023-09-16T05:30:00Z</dcterms:modified>
</cp:coreProperties>
</file>