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5ac71b8. 89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89 commits, by one owner directing a series of AI coding sessions. As of this build it is 54 Python files, 101 JavaScript files, 24 TypeScript edge functions, 35 migrations and 63 documents: 1978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89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99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41</w:t>
            </w:r>
          </w:p>
        </w:tc>
        <w:tc>
          <w:tcPr>
            <w:tcW w:w="0" w:type="auto"/>
          </w:tcPr>
          <w:p>
            <w:pPr>
              <w:spacing w:before="40" w:after="40"/>
            </w:pPr>
            <w:r>
              <w:t xml:space="preserve">41%</w:t>
            </w:r>
          </w:p>
        </w:tc>
      </w:tr>
      <w:tr>
        <w:tc>
          <w:tcPr>
            <w:tcW w:w="0" w:type="auto"/>
          </w:tcPr>
          <w:p>
            <w:pPr>
              <w:spacing w:before="40" w:after="40"/>
            </w:pPr>
            <w:r>
              <w:t xml:space="preserve">Found by measuring something</w:t>
            </w:r>
          </w:p>
        </w:tc>
        <w:tc>
          <w:tcPr>
            <w:tcW w:w="0" w:type="auto"/>
          </w:tcPr>
          <w:p>
            <w:pPr>
              <w:spacing w:before="40" w:after="40"/>
            </w:pPr>
            <w:r>
              <w:t xml:space="preserve">30</w:t>
            </w:r>
          </w:p>
        </w:tc>
        <w:tc>
          <w:tcPr>
            <w:tcW w:w="0" w:type="auto"/>
          </w:tcPr>
          <w:p>
            <w:pPr>
              <w:spacing w:before="40" w:after="40"/>
            </w:pPr>
            <w:r>
              <w:t xml:space="preserve">30%</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97 of 99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38</w:t>
            </w:r>
          </w:p>
        </w:tc>
      </w:tr>
      <w:tr>
        <w:tc>
          <w:tcPr>
            <w:tcW w:w="0" w:type="auto"/>
          </w:tcPr>
          <w:p>
            <w:pPr>
              <w:spacing w:before="40" w:after="40"/>
            </w:pPr>
            <w:r>
              <w:t xml:space="preserve">Silent loss</w:t>
            </w:r>
          </w:p>
        </w:tc>
        <w:tc>
          <w:tcPr>
            <w:tcW w:w="0" w:type="auto"/>
          </w:tcPr>
          <w:p>
            <w:pPr>
              <w:spacing w:before="40" w:after="40"/>
            </w:pPr>
            <w:r>
              <w:t xml:space="preserve">22</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22 of 99.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36</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93 of 99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21 of 99 incidents record that they repeat an earlier lesson, 31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w:t>
            </w:r>
          </w:p>
        </w:tc>
        <w:tc>
          <w:tcPr>
            <w:tcW w:w="0" w:type="auto"/>
          </w:tcPr>
          <w:p>
            <w:pPr>
              <w:spacing w:before="40" w:after="40"/>
            </w:pPr>
            <w:r>
              <w:t xml:space="preserve">1</w:t>
            </w:r>
          </w:p>
        </w:tc>
      </w:tr>
    </w:tbl>
    <w:p/>
    <w:p>
      <w:r>
        <w:t xml:space="preserve">The largest family runs to 16 incidents: INC-0055, INC-0059, INC-0064, INC-0067, INC-0069, INC-0070, INC-0079, INC-0082, INC-0085, INC-0086, INC-0088, INC-0089, INC-0090, INC-0092, INC-0098, INC-0099.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Passages are written once per file as constants and referenced by name, which is the convention the hand written banks already use, so 280 copies of a 300 word passage do not go into the payload. The browser suite decides an item has a source from what the item is rather than from one field: a reading item without a source now fails.</w:t>
      </w:r>
    </w:p>
    <w:p>
      <w:pPr>
        <w:pStyle w:val="ListParagraph"/>
        <w:numPr>
          <w:ilvl w:val="0"/>
          <w:numId w:val="1"/>
        </w:numPr>
      </w:pPr>
      <w:r>
        <w:rPr>
          <w:b/>
        </w:rPr>
        <w:t xml:space="preserve">What stops it now.</w:t>
      </w:r>
      <w:r>
        <w:t xml:space="preserve"> smoke_items asserts that every item whose type is RC or R renders a passage, and that no item carries a stem referring to a passage it does not have; build_banks fails a generated reading item emitted without one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And a field that is set in memory, used by every in-process test and copied by hand into the shipped format has no test at all between the two.</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A check that infers what to expect from the same data it is checking cannot fail on a missing field: absence reads as nothing to look for. Derive the expectation from something the data cannot erase, the item's TYPE, and then look for what that type requires. And a field that is set in memory, used by every in-process test and copied by hand into the shipped format has no test at all between the two.  </w:t>
      </w:r>
    </w:p>
    <w:p>
      <w:r>
        <w:t xml:space="preserve">&lt;small&gt;Every generated reading comprehension question shipped without its passage (INC-0099)&lt;/small&gt;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99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99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