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9056b8d. 84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84 commits, by one owner directing a series of AI coding sessions. As of this build it is 54 Python files, 101 JavaScript files, 24 TypeScript edge functions, 35 migrations and 63 documents: 1978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84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92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39</w:t>
            </w:r>
          </w:p>
        </w:tc>
        <w:tc>
          <w:tcPr>
            <w:tcW w:w="0" w:type="auto"/>
          </w:tcPr>
          <w:p>
            <w:pPr>
              <w:spacing w:before="40" w:after="40"/>
            </w:pPr>
            <w:r>
              <w:t xml:space="preserve">42%</w:t>
            </w:r>
          </w:p>
        </w:tc>
      </w:tr>
      <w:tr>
        <w:tc>
          <w:tcPr>
            <w:tcW w:w="0" w:type="auto"/>
          </w:tcPr>
          <w:p>
            <w:pPr>
              <w:spacing w:before="40" w:after="40"/>
            </w:pPr>
            <w:r>
              <w:t xml:space="preserve">Found by measuring something</w:t>
            </w:r>
          </w:p>
        </w:tc>
        <w:tc>
          <w:tcPr>
            <w:tcW w:w="0" w:type="auto"/>
          </w:tcPr>
          <w:p>
            <w:pPr>
              <w:spacing w:before="40" w:after="40"/>
            </w:pPr>
            <w:r>
              <w:t xml:space="preserve">27</w:t>
            </w:r>
          </w:p>
        </w:tc>
        <w:tc>
          <w:tcPr>
            <w:tcW w:w="0" w:type="auto"/>
          </w:tcPr>
          <w:p>
            <w:pPr>
              <w:spacing w:before="40" w:after="40"/>
            </w:pPr>
            <w:r>
              <w:t xml:space="preserve">29%</w:t>
            </w:r>
          </w:p>
        </w:tc>
      </w:tr>
      <w:tr>
        <w:tc>
          <w:tcPr>
            <w:tcW w:w="0" w:type="auto"/>
          </w:tcPr>
          <w:p>
            <w:pPr>
              <w:spacing w:before="40" w:after="40"/>
            </w:pPr>
            <w:r>
              <w:t xml:space="preserve">A test caught it</w:t>
            </w:r>
          </w:p>
        </w:tc>
        <w:tc>
          <w:tcPr>
            <w:tcW w:w="0" w:type="auto"/>
          </w:tcPr>
          <w:p>
            <w:pPr>
              <w:spacing w:before="40" w:after="40"/>
            </w:pPr>
            <w:r>
              <w:t xml:space="preserve">13</w:t>
            </w:r>
          </w:p>
        </w:tc>
        <w:tc>
          <w:tcPr>
            <w:tcW w:w="0" w:type="auto"/>
          </w:tcPr>
          <w:p>
            <w:pPr>
              <w:spacing w:before="40" w:after="40"/>
            </w:pPr>
            <w:r>
              <w:t xml:space="preserve">14%</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7%</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5%</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1%</w:t>
            </w:r>
          </w:p>
        </w:tc>
      </w:tr>
      <w:tr>
        <w:tc>
          <w:tcPr>
            <w:tcW w:w="0" w:type="auto"/>
          </w:tcPr>
          <w:p>
            <w:pPr>
              <w:spacing w:before="40" w:after="40"/>
            </w:pPr>
            <w:r>
              <w:t xml:space="preserve">A build guard caught it</w:t>
            </w:r>
          </w:p>
        </w:tc>
        <w:tc>
          <w:tcPr>
            <w:tcW w:w="0" w:type="auto"/>
          </w:tcPr>
          <w:p>
            <w:pPr>
              <w:spacing w:before="40" w:after="40"/>
            </w:pPr>
            <w:r>
              <w:t xml:space="preserve">1</w:t>
            </w:r>
          </w:p>
        </w:tc>
        <w:tc>
          <w:tcPr>
            <w:tcW w:w="0" w:type="auto"/>
          </w:tcPr>
          <w:p>
            <w:pPr>
              <w:spacing w:before="40" w:after="40"/>
            </w:pPr>
            <w:r>
              <w:t xml:space="preserve">1%</w:t>
            </w:r>
          </w:p>
        </w:tc>
      </w:tr>
    </w:tbl>
    <w:p/>
    <w:p>
      <w:r>
        <w:rPr>
          <w:b/>
        </w:rPr>
        <w:t xml:space="preserve">This is the most useful table in the book.</w:t>
      </w:r>
      <w:r>
        <w:t xml:space="preserve"> 91 of 92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35</w:t>
            </w:r>
          </w:p>
        </w:tc>
      </w:tr>
      <w:tr>
        <w:tc>
          <w:tcPr>
            <w:tcW w:w="0" w:type="auto"/>
          </w:tcPr>
          <w:p>
            <w:pPr>
              <w:spacing w:before="40" w:after="40"/>
            </w:pPr>
            <w:r>
              <w:t xml:space="preserve">Silent loss</w:t>
            </w:r>
          </w:p>
        </w:tc>
        <w:tc>
          <w:tcPr>
            <w:tcW w:w="0" w:type="auto"/>
          </w:tcPr>
          <w:p>
            <w:pPr>
              <w:spacing w:before="40" w:after="40"/>
            </w:pPr>
            <w:r>
              <w:t xml:space="preserve">22</w:t>
            </w:r>
          </w:p>
        </w:tc>
      </w:tr>
      <w:tr>
        <w:tc>
          <w:tcPr>
            <w:tcW w:w="0" w:type="auto"/>
          </w:tcPr>
          <w:p>
            <w:pPr>
              <w:spacing w:before="40" w:after="40"/>
            </w:pPr>
            <w:r>
              <w:t xml:space="preserve">Degraded</w:t>
            </w:r>
          </w:p>
        </w:tc>
        <w:tc>
          <w:tcPr>
            <w:tcW w:w="0" w:type="auto"/>
          </w:tcPr>
          <w:p>
            <w:pPr>
              <w:spacing w:before="40" w:after="40"/>
            </w:pPr>
            <w:r>
              <w:t xml:space="preserve">20</w:t>
            </w:r>
          </w:p>
        </w:tc>
      </w:tr>
      <w:tr>
        <w:tc>
          <w:tcPr>
            <w:tcW w:w="0" w:type="auto"/>
          </w:tcPr>
          <w:p>
            <w:pPr>
              <w:spacing w:before="40" w:after="40"/>
            </w:pPr>
            <w:r>
              <w:t xml:space="preserve">Cosmetic</w:t>
            </w:r>
          </w:p>
        </w:tc>
        <w:tc>
          <w:tcPr>
            <w:tcW w:w="0" w:type="auto"/>
          </w:tcPr>
          <w:p>
            <w:pPr>
              <w:spacing w:before="40" w:after="40"/>
            </w:pPr>
            <w:r>
              <w:t xml:space="preserve">12</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22 of 92.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30</w:t>
            </w:r>
          </w:p>
        </w:tc>
      </w:tr>
      <w:tr>
        <w:tc>
          <w:tcPr>
            <w:tcW w:w="0" w:type="auto"/>
          </w:tcPr>
          <w:p>
            <w:pPr>
              <w:spacing w:before="40" w:after="40"/>
            </w:pPr>
            <w:r>
              <w:t xml:space="preserve">Tests and guards</w:t>
            </w:r>
          </w:p>
        </w:tc>
        <w:tc>
          <w:tcPr>
            <w:tcW w:w="0" w:type="auto"/>
          </w:tcPr>
          <w:p>
            <w:pPr>
              <w:spacing w:before="40" w:after="40"/>
            </w:pPr>
            <w:r>
              <w:t xml:space="preserve">18</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86 of 92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16 of 92 incidents record that they repeat an earlier lesson, 20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w:t>
            </w:r>
          </w:p>
        </w:tc>
        <w:tc>
          <w:tcPr>
            <w:tcW w:w="0" w:type="auto"/>
          </w:tcPr>
          <w:p>
            <w:pPr>
              <w:spacing w:before="40" w:after="40"/>
            </w:pPr>
            <w:r>
              <w:t xml:space="preserve">1</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bl>
    <w:p/>
    <w:p>
      <w:r>
        <w:t xml:space="preserve">The largest family runs to 14 incidents: INC-0055, INC-0059, INC-0064, INC-0067, INC-0069, INC-0070, INC-0079, INC-0082, INC-0085, INC-0086, INC-0088, INC-0089, INC-0090, INC-0092.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13 incidents (INC-0003, INC-0007, INC-0008, INC-0009, INC-0011, INC-0079, INC-0081, INC-0086, INC-0088, INC-0089, INC-0090, INC-0091, INC-0092)</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src/gen/framework.py</w:t>
      </w:r>
      <w:r>
        <w:t xml:space="preserve">, 4 incidents (INC-0074, INC-0075, INC-0078, INC-0087)</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src/bank_repair.py</w:t>
      </w:r>
      <w:r>
        <w:t xml:space="preserve">, 3 incidents (INC-0070, INC-0071, INC-0072)</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(30)</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2"/>
      </w:pPr>
      <w:r>
        <w:t xml:space="preserve">Tests and guards (18)</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Infrastructure and deploy (5)</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3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w:t>
      </w:r>
      <w:r>
        <w:rPr>
          <w:b/>
        </w:rPr>
        <w:t xml:space="preserve">Learned 2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2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92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92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