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2026-10-06 from commit eb538c3. 185 commits over 16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2026-10-05, which is 16 days, across 185 commits, by one owner directing a series of AI coding sessions. As of this build it is 87 Python files, 112 JavaScript files, 24 TypeScript edge functions, 35 migrations and 65 documents: 2125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185 commits in 16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16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201 recorded defects, over 16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113</w:t>
            </w:r>
          </w:p>
        </w:tc>
        <w:tc>
          <w:tcPr>
            <w:tcW w:w="0" w:type="auto"/>
          </w:tcPr>
          <w:p>
            <w:pPr>
              <w:spacing w:before="40" w:after="40"/>
            </w:pPr>
            <w:r>
              <w:t xml:space="preserve">56%</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23%</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199 of 201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93</w:t>
            </w:r>
          </w:p>
        </w:tc>
      </w:tr>
      <w:tr>
        <w:tc>
          <w:tcPr>
            <w:tcW w:w="0" w:type="auto"/>
          </w:tcPr>
          <w:p>
            <w:pPr>
              <w:spacing w:before="40" w:after="40"/>
            </w:pPr>
            <w:r>
              <w:t xml:space="preserve">Degraded</w:t>
            </w:r>
          </w:p>
        </w:tc>
        <w:tc>
          <w:tcPr>
            <w:tcW w:w="0" w:type="auto"/>
          </w:tcPr>
          <w:p>
            <w:pPr>
              <w:spacing w:before="40" w:after="40"/>
            </w:pPr>
            <w:r>
              <w:t xml:space="preserve">48</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201.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95</w:t>
            </w:r>
          </w:p>
        </w:tc>
      </w:tr>
      <w:tr>
        <w:tc>
          <w:tcPr>
            <w:tcW w:w="0" w:type="auto"/>
          </w:tcPr>
          <w:p>
            <w:pPr>
              <w:spacing w:before="40" w:after="40"/>
            </w:pPr>
            <w:r>
              <w:t xml:space="preserve">Tests and guards</w:t>
            </w:r>
          </w:p>
        </w:tc>
        <w:tc>
          <w:tcPr>
            <w:tcW w:w="0" w:type="auto"/>
          </w:tcPr>
          <w:p>
            <w:pPr>
              <w:spacing w:before="40" w:after="40"/>
            </w:pPr>
            <w:r>
              <w:t xml:space="preserve">36</w:t>
            </w:r>
          </w:p>
        </w:tc>
      </w:tr>
      <w:tr>
        <w:tc>
          <w:tcPr>
            <w:tcW w:w="0" w:type="auto"/>
          </w:tcPr>
          <w:p>
            <w:pPr>
              <w:spacing w:before="40" w:after="40"/>
            </w:pPr>
            <w:r>
              <w:t xml:space="preserve">Front end</w:t>
            </w:r>
          </w:p>
        </w:tc>
        <w:tc>
          <w:tcPr>
            <w:tcW w:w="0" w:type="auto"/>
          </w:tcPr>
          <w:p>
            <w:pPr>
              <w:spacing w:before="40" w:after="40"/>
            </w:pPr>
            <w:r>
              <w:t xml:space="preserve">14</w:t>
            </w:r>
          </w:p>
        </w:tc>
      </w:tr>
      <w:tr>
        <w:tc>
          <w:tcPr>
            <w:tcW w:w="0" w:type="auto"/>
          </w:tcPr>
          <w:p>
            <w:pPr>
              <w:spacing w:before="40" w:after="40"/>
            </w:pPr>
            <w:r>
              <w:t xml:space="preserve">Build system</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11</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195 of 201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92 of 201 incidents record that they repeat an earlier lesson, 125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ListParagraph"/>
        <w:numPr>
          <w:ilvl w:val="0"/>
          <w:numId w:val="1"/>
        </w:numPr>
      </w:pPr>
      <w:r>
        <w:t xml:space="preserve">INC-0198 names INC-0109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8 incidents (INC-0014, INC-0049, INC-0118, INC-0135, INC-0142, INC-0145, INC-0167, INC-0200)</w:t>
      </w:r>
    </w:p>
    <w:p>
      <w:pPr>
        <w:pStyle w:val="ListParagraph"/>
        <w:numPr>
          <w:ilvl w:val="0"/>
          <w:numId w:val="1"/>
        </w:numPr>
      </w:pPr>
      <w:r>
        <w:rPr>
          <w:rFonts w:ascii="Consolas" w:hAnsi="Consolas"/>
          <w:sz w:val="19"/>
        </w:rPr>
        <w:t xml:space="preserve">src/build_blog.py</w:t>
      </w:r>
      <w:r>
        <w:t xml:space="preserve">, 7 incidents (INC-0124, INC-0137, INC-0162, INC-0170, INC-0171, INC-0188, INC-0197)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(95)</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3"/>
      </w:pPr>
      <w:r>
        <w:t xml:space="preserve">INC-0199. GRE sentence-function questions offered a second right answer: the third sentence's job, worded so that it was true of the fourth sentence too</w:t>
      </w:r>
    </w:p>
    <w:p>
      <w:r>
        <w:rPr>
          <w:i/>
        </w:rPr>
        <w:t xml:space="preserve">2026-10-03, Wrong data shown or stored, `c2f9acf70447cc3eb029ccb04df2ec6e6741dfb7` PR #219</w:t>
      </w:r>
    </w:p>
    <w:p>
      <w:pPr>
        <w:pStyle w:val="ListParagraph"/>
        <w:numPr>
          <w:ilvl w:val="0"/>
          <w:numId w:val="1"/>
        </w:numPr>
      </w:pPr>
      <w:r>
        <w:rPr>
          <w:b/>
        </w:rPr>
        <w:t xml:space="preserve">What was seen.</w:t>
      </w:r>
      <w:r>
        <w:t xml:space="preserve"> Each GRE reading passage is six sentences with a fixed job each, and a function question asks what one sentence does, with the other sentences' jobs as wrong answers. One of the two wordings for the third sentence, the first finding, was 'present a finding that tells against the earlier account'. The fourth sentence is the second finding and does exactly that, so on the 31 of 107 fourth-sentence questions that offered this wording as a wrong answer, a student who chose it had a defensible case. The 34 second-sentence questions that offered it carried the same risk in a weaker form, since the second sentence, the fact the earlier account cannot explain, also tells against that account.</w:t>
      </w:r>
    </w:p>
    <w:p>
      <w:pPr>
        <w:pStyle w:val="ListParagraph"/>
        <w:numPr>
          <w:ilvl w:val="0"/>
          <w:numId w:val="1"/>
        </w:numPr>
      </w:pPr>
      <w:r>
        <w:rPr>
          <w:b/>
        </w:rPr>
        <w:t xml:space="preserve">Why.</w:t>
      </w:r>
      <w:r>
        <w:t xml:space="preserve"> The job table was written one sentence at a time, each wording checked against the sentence it describes and never against the others. The two findings share every property but their order, so any wording for either of them that does not say which one it is describes both, and a wrong answer that is also true of the asked sentence is a second key. The duplicate-job check caught two wordings of one job offered together, not one wording true of two jobs.</w:t>
      </w:r>
    </w:p>
    <w:p>
      <w:pPr>
        <w:pStyle w:val="ListParagraph"/>
        <w:numPr>
          <w:ilvl w:val="0"/>
          <w:numId w:val="1"/>
        </w:numPr>
      </w:pPr>
      <w:r>
        <w:rPr>
          <w:b/>
        </w:rPr>
        <w:t xml:space="preserve">How it surfaced.</w:t>
      </w:r>
      <w:r>
        <w:t xml:space="preserve"> Found on October 3, 2026 while reading g_gre_rc.py as the model for generated LSAT structure questions, then counted in the built GRE bank: 65 of its 428 function questions offered the wording beside a sentence it also describes. (Found by reading the code or the output)</w:t>
      </w:r>
    </w:p>
    <w:p>
      <w:pPr>
        <w:pStyle w:val="ListParagraph"/>
        <w:numPr>
          <w:ilvl w:val="0"/>
          <w:numId w:val="1"/>
        </w:numPr>
      </w:pPr>
      <w:r>
        <w:rPr>
          <w:b/>
        </w:rPr>
        <w:t xml:space="preserve">Fix.</w:t>
      </w:r>
      <w:r>
        <w:t xml:space="preserve"> The wording now reads 'present the first of the two findings that tell against the earlier account', which is false of every sentence but the third.</w:t>
      </w:r>
    </w:p>
    <w:p>
      <w:pPr>
        <w:pStyle w:val="ListParagraph"/>
        <w:numPr>
          <w:ilvl w:val="0"/>
          <w:numId w:val="1"/>
        </w:numPr>
      </w:pPr>
      <w:r>
        <w:rPr>
          <w:b/>
        </w:rPr>
        <w:t xml:space="preserve">What stops it now.</w:t>
      </w:r>
      <w:r>
        <w:t xml:space="preserve"> g_gre_rc.check_corpus fails the build unless every wording for either finding says which finding it is (first, second, further, or the one before it), the one property that tells the two apart. in </w:t>
      </w:r>
      <w:r>
        <w:rPr>
          <w:rFonts w:ascii="Consolas" w:hAnsi="Consolas"/>
          <w:sz w:val="19"/>
        </w:rPr>
        <w:t xml:space="preserve">src/gen/g_gre_rc.py</w:t>
      </w:r>
    </w:p>
    <w:p>
      <w:pPr>
        <w:pStyle w:val="ListParagraph"/>
        <w:numPr>
          <w:ilvl w:val="0"/>
          <w:numId w:val="1"/>
        </w:numPr>
      </w:pPr>
      <w:r>
        <w:rPr>
          <w:b/>
        </w:rPr>
        <w:t xml:space="preserve">Lesson.</w:t>
      </w:r>
      <w:r>
        <w:t xml:space="preserve">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w:t>
      </w:r>
    </w:p>
    <w:p>
      <w:pPr>
        <w:pStyle w:val="Heading3"/>
      </w:pPr>
      <w:r>
        <w:t xml:space="preserve">INC-0200. School pages stated averaged and approximate figures as exact: a cohort average as one class's size, and approximate tuition, work experience and scholarships without their qualifier</w:t>
      </w:r>
    </w:p>
    <w:p>
      <w:r>
        <w:rPr>
          <w:i/>
        </w:rPr>
        <w:t xml:space="preserve">2026-10-05, Wrong data shown or stored, `bc230b2d898d98f3d5cc3682964f4ea3f04ea649` PR #224</w:t>
      </w:r>
    </w:p>
    <w:p>
      <w:pPr>
        <w:pStyle w:val="ListParagraph"/>
        <w:numPr>
          <w:ilvl w:val="0"/>
          <w:numId w:val="1"/>
        </w:numPr>
      </w:pPr>
      <w:r>
        <w:rPr>
          <w:b/>
        </w:rPr>
        <w:t xml:space="preserve">What was seen.</w:t>
      </w:r>
      <w:r>
        <w:t xml:space="preserve"> George Washington's page said 'The 2024-2025 profile reports a class of 41' and 'The class profiled in 2024-2025 has 41 students', and its search description ended 'class of 41', where the school's figure is its average cohort size. Michigan State, Minnesota, Rice and Washington University in St. Louis read the same way about an average or typical cohort, and Louisville, Ohio State and Oklahoma stated as exact a size their schools give as approximately or about. The same pages said UC Riverside's tuition was $59,505 a year where the school prices each quarter at approximately $19,835, said Lehigh's students arrive with an average of 4 years of work experience where the page says more than 4, and the rankings list said 50% of Harvard students get a scholarship averaging $50,000 a year where Harvard says approximately half, at roughly $50,000. Each table showed the school's own note beside the figure, so the tables were right and only the sentences, the search descriptions and the list's scholarship note were not.</w:t>
      </w:r>
    </w:p>
    <w:p>
      <w:pPr>
        <w:pStyle w:val="ListParagraph"/>
        <w:numPr>
          <w:ilvl w:val="0"/>
          <w:numId w:val="1"/>
        </w:numPr>
      </w:pPr>
      <w:r>
        <w:rPr>
          <w:b/>
        </w:rPr>
        <w:t xml:space="preserve">Why.</w:t>
      </w:r>
      <w:r>
        <w:t xml:space="preserve"> Every sentence builder took a figure's value and dropped its note, because the note was treated as provenance for the table and never read for meaning. Class size had a second problem of its own: its phrases were written for a count of one class, so 'a class of 41' and 'has 41 students' turned a size averaged over several cohorts into the size of a single named class. One helper already read the note for 'approximately', but only the whole program cost used it, and it knew one word.</w:t>
      </w:r>
    </w:p>
    <w:p>
      <w:pPr>
        <w:pStyle w:val="ListParagraph"/>
        <w:numPr>
          <w:ilvl w:val="0"/>
          <w:numId w:val="1"/>
        </w:numPr>
      </w:pPr>
      <w:r>
        <w:rPr>
          <w:b/>
        </w:rPr>
        <w:t xml:space="preserve">How it surfaced.</w:t>
      </w:r>
      <w:r>
        <w:t xml:space="preserve"> Found on October 5, 2026 while adding Notre Dame's class size, which Mendoza's page gives as an average cohort size of 85: writing it as 'a class of 85' would have repeated the problem, and counting the library showed eight programs already worded that way. (Found by reading the code or the output)</w:t>
      </w:r>
    </w:p>
    <w:p>
      <w:pPr>
        <w:pStyle w:val="ListParagraph"/>
        <w:numPr>
          <w:ilvl w:val="0"/>
          <w:numId w:val="1"/>
        </w:numPr>
      </w:pPr>
      <w:r>
        <w:rPr>
          <w:b/>
        </w:rPr>
        <w:t xml:space="preserve">Fix.</w:t>
      </w:r>
      <w:r>
        <w:t xml:space="preserve"> One reader takes the qualifier from a figure's own note (about or more than) and the kind of class size (one class, or an average or typical cohort), and every sentence and description that states a class size, tuition, work experience, program cost or scholarship figure goes through it. An averaged cohort size is now its own sentence ('Mendoza College of Business cohorts average 85 students') rather than a count attached to a class. Notre Dame's class size is filled from Mendoza's page as an average cohort of 85.</w:t>
      </w:r>
    </w:p>
    <w:p>
      <w:pPr>
        <w:pStyle w:val="ListParagraph"/>
        <w:numPr>
          <w:ilvl w:val="0"/>
          <w:numId w:val="1"/>
        </w:numPr>
      </w:pPr>
      <w:r>
        <w:rPr>
          <w:b/>
        </w:rPr>
        <w:t xml:space="preserve">What stops it now.</w:t>
      </w:r>
      <w:r>
        <w:t xml:space="preserve"> The build fails if a school page states a qualified class size in any sentence without the qualifier its note carries, and fails if a figure's note carries a qualifier the reader cannot put into words (nearly, at least, up to, fewer than and the like), so a new kind of note stops the build instead of being dropped. in </w:t>
      </w:r>
      <w:r>
        <w:rPr>
          <w:rFonts w:ascii="Consolas" w:hAnsi="Consolas"/>
          <w:sz w:val="19"/>
        </w:rPr>
        <w:t xml:space="preserve">src/build_rankings.py</w:t>
      </w:r>
    </w:p>
    <w:p>
      <w:pPr>
        <w:pStyle w:val="ListParagraph"/>
        <w:numPr>
          <w:ilvl w:val="0"/>
          <w:numId w:val="1"/>
        </w:numPr>
      </w:pPr>
      <w:r>
        <w:rPr>
          <w:b/>
        </w:rPr>
        <w:t xml:space="preserve">Lesson.</w:t>
      </w:r>
      <w:r>
        <w:t xml:space="preserve">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w:t>
      </w:r>
    </w:p>
    <w:p>
      <w:pPr>
        <w:pStyle w:val="Heading2"/>
      </w:pPr>
      <w:r>
        <w:t xml:space="preserve">Tests and guards (36)</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2"/>
      </w:pPr>
      <w:r>
        <w:t xml:space="preserve">Front end (14)</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3"/>
      </w:pPr>
      <w:r>
        <w:t xml:space="preserve">INC-0201. The application checklist's calendar file left semicolons unescaped, because the escape was written '\;', which JavaScript reads as a bare semicolon</w:t>
      </w:r>
    </w:p>
    <w:p>
      <w:r>
        <w:rPr>
          <w:i/>
        </w:rPr>
        <w:t xml:space="preserve">2026-10-06, Wrong data shown or stored, `eb538c357988599753afde1076961b325ec68739` PR #232</w:t>
      </w:r>
    </w:p>
    <w:p>
      <w:pPr>
        <w:pStyle w:val="ListParagraph"/>
        <w:numPr>
          <w:ilvl w:val="0"/>
          <w:numId w:val="1"/>
        </w:numPr>
      </w:pPr>
      <w:r>
        <w:rPr>
          <w:b/>
        </w:rPr>
        <w:t xml:space="preserve">What was seen.</w:t>
      </w:r>
      <w:r>
        <w:t xml:space="preserve"> The Add to Calendar file on /apply/ wrote the Remind Your Recommenders event's description as 'Plan on sending it; most people need it.' with the semicolon bare. RFC 5545 requires a semicolon in a text value to be written as a backslash and a semicolon, and a strict calendar reader may cut the text at it. Commas and backslashes were escaped correctly in the same function.</w:t>
      </w:r>
    </w:p>
    <w:p>
      <w:pPr>
        <w:pStyle w:val="ListParagraph"/>
        <w:numPr>
          <w:ilvl w:val="0"/>
          <w:numId w:val="1"/>
        </w:numPr>
      </w:pPr>
      <w:r>
        <w:rPr>
          <w:b/>
        </w:rPr>
        <w:t xml:space="preserve">Why.</w:t>
      </w:r>
      <w:r>
        <w:t xml:space="preserve"> The escape function was written as replace(/;/g,'\;'). In a JavaScript string literal a backslash before a character with no escape meaning is dropped, so '\;' is ';' and the replacement changed nothing. The comma rule beside it used '\\,' and worked, so reading the line, the two looked equivalent. The Python writer the function was copied from (build_test_dates.ics_text) is correct, because there the string is written with the backslash doubled.</w:t>
      </w:r>
    </w:p>
    <w:p>
      <w:pPr>
        <w:pStyle w:val="ListParagraph"/>
        <w:numPr>
          <w:ilvl w:val="0"/>
          <w:numId w:val="1"/>
        </w:numPr>
      </w:pPr>
      <w:r>
        <w:rPr>
          <w:b/>
        </w:rPr>
        <w:t xml:space="preserve">How it surfaced.</w:t>
      </w:r>
      <w:r>
        <w:t xml:space="preserve"> Found on October 6, 2026 while reading the calendar code on /apply/ to add school rounds to it. The smoke test checked line endings, line length and event count, but never what an escaped value looks like, and no task text tested had a semicolon in its summary. (Found by reading the code or the output)</w:t>
      </w:r>
    </w:p>
    <w:p>
      <w:pPr>
        <w:pStyle w:val="ListParagraph"/>
        <w:numPr>
          <w:ilvl w:val="0"/>
          <w:numId w:val="1"/>
        </w:numPr>
      </w:pPr>
      <w:r>
        <w:rPr>
          <w:b/>
        </w:rPr>
        <w:t xml:space="preserve">Fix.</w:t>
      </w:r>
      <w:r>
        <w:t xml:space="preserve"> The escape is written with the backslash doubled, so a semicolon becomes a backslash and a semicolon, as the Python writer already did.</w:t>
      </w:r>
    </w:p>
    <w:p>
      <w:pPr>
        <w:pStyle w:val="ListParagraph"/>
        <w:numPr>
          <w:ilvl w:val="0"/>
          <w:numId w:val="1"/>
        </w:numPr>
      </w:pPr>
      <w:r>
        <w:rPr>
          <w:b/>
        </w:rPr>
        <w:t xml:space="preserve">What stops it now.</w:t>
      </w:r>
      <w:r>
        <w:t xml:space="preserve"> src/smoke_pages.js now fails if any SUMMARY or DESCRIPTION line in the downloaded calendar holds a semicolon or comma without a backslash before it, and the checklist's own data holds a description with a semicolon, so the check always has one to read. in </w:t>
      </w:r>
      <w:r>
        <w:rPr>
          <w:rFonts w:ascii="Consolas" w:hAnsi="Consolas"/>
          <w:sz w:val="19"/>
        </w:rPr>
        <w:t xml:space="preserve">src/smoke_pages.js</w:t>
      </w:r>
    </w:p>
    <w:p>
      <w:pPr>
        <w:pStyle w:val="ListParagraph"/>
        <w:numPr>
          <w:ilvl w:val="0"/>
          <w:numId w:val="1"/>
        </w:numPr>
      </w:pPr>
      <w:r>
        <w:rPr>
          <w:b/>
        </w:rPr>
        <w:t xml:space="preserve">Lesson.</w:t>
      </w:r>
      <w:r>
        <w:t xml:space="preserve">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w:t>
      </w:r>
    </w:p>
    <w:p>
      <w:pPr>
        <w:pStyle w:val="Heading2"/>
      </w:pPr>
      <w:r>
        <w:t xml:space="preserve">Build system (12)</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2"/>
      </w:pPr>
      <w:r>
        <w:t xml:space="preserve">Search and metadata (11)</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3"/>
      </w:pPr>
      <w:r>
        <w:t xml:space="preserve">INC-0198. The search report told us to redirect two URLs the Worker already redirects</w:t>
      </w:r>
    </w:p>
    <w:p>
      <w:r>
        <w:rPr>
          <w:i/>
        </w:rPr>
        <w:t xml:space="preserve">2026-10-03, Degraded, `79ec340e6921eb8ea737c4d14963a09f18af54bc` PR #218</w:t>
      </w:r>
    </w:p>
    <w:p>
      <w:pPr>
        <w:pStyle w:val="ListParagraph"/>
        <w:numPr>
          <w:ilvl w:val="0"/>
          <w:numId w:val="1"/>
        </w:numPr>
      </w:pPr>
      <w:r>
        <w:rPr>
          <w:b/>
        </w:rPr>
        <w:t xml:space="preserve">What was seen.</w:t>
      </w:r>
      <w:r>
        <w:t xml:space="preserve"> Run on the owner's October 3 Search Console export, src/gsc_report.py listed /exams/mcat/ (223 impressions) and /exams/executive-assessment/ (88 impressions) under its heading for URLs with impressions that the build does not produce, with the instruction to redirect them and see RETIRED in src/worker.mjs. Both have been in RETIRED since INC-0109 and both already answer with a 301 to /exams/. Acted on, the advice meant adding entries that already exist, or concluding that a working redirect had stopped working.</w:t>
      </w:r>
    </w:p>
    <w:p>
      <w:pPr>
        <w:pStyle w:val="ListParagraph"/>
        <w:numPr>
          <w:ilvl w:val="0"/>
          <w:numId w:val="1"/>
        </w:numPr>
      </w:pPr>
      <w:r>
        <w:rPr>
          <w:b/>
        </w:rPr>
        <w:t xml:space="preserve">Why.</w:t>
      </w:r>
      <w:r>
        <w:t xml:space="preserve"> The check asked one question, whether the build writes a file at the URL's path, and treated every no as a page that still needs a redirect. A URL can be served two ways, by a built page or by the Worker's RETIRED table, and the check knew only the first. The table its own message told the reader to consult was the one place it never looked.</w:t>
      </w:r>
    </w:p>
    <w:p>
      <w:pPr>
        <w:pStyle w:val="ListParagraph"/>
        <w:numPr>
          <w:ilvl w:val="0"/>
          <w:numId w:val="1"/>
        </w:numPr>
      </w:pPr>
      <w:r>
        <w:rPr>
          <w:b/>
        </w:rPr>
        <w:t xml:space="preserve">How it surfaced.</w:t>
      </w:r>
      <w:r>
        <w:t xml:space="preserve"> Found on October 3, 2026 while reading the report on the owner's October 3 export against src/worker.mjs before acting on it. (Found by reading the code or the output)</w:t>
      </w:r>
    </w:p>
    <w:p>
      <w:pPr>
        <w:pStyle w:val="ListParagraph"/>
        <w:numPr>
          <w:ilvl w:val="0"/>
          <w:numId w:val="1"/>
        </w:numPr>
      </w:pPr>
      <w:r>
        <w:rPr>
          <w:b/>
        </w:rPr>
        <w:t xml:space="preserve">Fix.</w:t>
      </w:r>
      <w:r>
        <w:t xml:space="preserve"> gsc_report.py reads the RETIRED table from src/worker.mjs and lists retired URLs separately as already redirected, so its warning names only URLs that are neither built nor redirected.</w:t>
      </w:r>
    </w:p>
    <w:p>
      <w:pPr>
        <w:pStyle w:val="ListParagraph"/>
        <w:numPr>
          <w:ilvl w:val="0"/>
          <w:numId w:val="1"/>
        </w:numPr>
      </w:pPr>
      <w:r>
        <w:rPr>
          <w:b/>
        </w:rPr>
        <w:t xml:space="preserve">What stops it now.</w:t>
      </w:r>
      <w:r>
        <w:t xml:space="preserve"> The report stops with an error if src/worker.mjs declares a RETIRED table it cannot parse, so a change to the table's format cannot quietly switch the exclusion off and bring the false alarm back. in </w:t>
      </w:r>
      <w:r>
        <w:rPr>
          <w:rFonts w:ascii="Consolas" w:hAnsi="Consolas"/>
          <w:sz w:val="19"/>
        </w:rPr>
        <w:t xml:space="preserve">src/gsc_report.py</w:t>
      </w:r>
    </w:p>
    <w:p>
      <w:pPr>
        <w:pStyle w:val="ListParagraph"/>
        <w:numPr>
          <w:ilvl w:val="0"/>
          <w:numId w:val="1"/>
        </w:numPr>
      </w:pPr>
      <w:r>
        <w:rPr>
          <w:b/>
        </w:rPr>
        <w:t xml:space="preserve">Lesson.</w:t>
      </w:r>
      <w:r>
        <w:t xml:space="preserve"> A check that reports what is missing has to know every way the thing can be present. When its advice names the place where the fix belongs, it should read that place first; otherwise it keeps recommending work that was already done, and the people reading it learn to ignore it.</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ListParagraph"/>
        <w:numPr>
          <w:ilvl w:val="0"/>
          <w:numId w:val="1"/>
        </w:numPr>
      </w:pPr>
      <w:r>
        <w:t xml:space="preserve">[ ]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  </w:t>
      </w:r>
    </w:p>
    <w:p>
      <w:r>
        <w:t xml:space="preserve">&lt;small&gt;GRE sentence-function questions offered a second right answer: the third sentence's job, worded so that it was true of the fourth sentence too (INC-0199)&lt;/small&gt;</w:t>
      </w:r>
    </w:p>
    <w:p>
      <w:pPr>
        <w:pStyle w:val="ListParagraph"/>
        <w:numPr>
          <w:ilvl w:val="0"/>
          <w:numId w:val="1"/>
        </w:numPr>
      </w:pPr>
      <w:r>
        <w:t xml:space="preserve">[ ]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  </w:t>
      </w:r>
    </w:p>
    <w:p>
      <w:r>
        <w:t xml:space="preserve">&lt;small&gt;School pages stated averaged and approximate figures as exact: a cohort average as one class's size, and approximate tuition, work experience and scholarships without their qualifier (INC-0200)&lt;/small&gt;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ListParagraph"/>
        <w:numPr>
          <w:ilvl w:val="0"/>
          <w:numId w:val="1"/>
        </w:numPr>
      </w:pPr>
      <w:r>
        <w:t xml:space="preserve">[ ]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  </w:t>
      </w:r>
    </w:p>
    <w:p>
      <w:r>
        <w:t xml:space="preserve">&lt;small&gt;The application checklist's calendar file left semicolons unescaped, because the escape was written '\;', which JavaScript reads as a bare semicolon (INC-0201)&lt;/small&gt;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ListParagraph"/>
        <w:numPr>
          <w:ilvl w:val="0"/>
          <w:numId w:val="1"/>
        </w:numPr>
      </w:pPr>
      <w:r>
        <w:t xml:space="preserve">[ ] A check that reports what is missing has to know every way the thing can be present. When its advice names the place where the fix belongs, it should read that place first; otherwise it keeps recommending work that was already done, and the people reading it learn to ignore it.  </w:t>
      </w:r>
    </w:p>
    <w:p>
      <w:r>
        <w:t xml:space="preserve">&lt;small&gt;The search report told us to redirect two URLs the Worker already redirects (INC-0198)&lt;/small&gt;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201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201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