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ReFon Financial Gain Report — Oct 20 Sales (Updated)</w:t>
      </w:r>
    </w:p>
    <w:p>
      <w:pPr/>
      <w:r>
        <w:t xml:space="preserve">Oct 21, 2026</w:t>
      </w:r>
      <w:r>
        <w:t xml:space="preserve"> </w:t>
      </w:r>
    </w:p>
    <w:p>
      <w:pPr/>
      <w:r>
        <w:t xml:space="preserve">On Oct 20, 2026, one phone was sold through ReFon at the Techno Fair. </w:t>
      </w:r>
      <w:r>
        <w:rPr>
          <w:b/>
        </w:rPr>
        <w:t xml:space="preserve">The seller earned ₱1,000. ReFon earned ₱0</w:t>
      </w:r>
      <w:r>
        <w:t xml:space="preserve">, because ReFon does not charge any fee yet.</w:t>
      </w:r>
    </w:p>
    <w:p>
      <w:pPr>
        <w:pStyle w:val="Heading2"/>
      </w:pPr>
      <w:r>
        <w:t xml:space="preserve">The sale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62"/>
        <w:gridCol w:w="6597"/>
      </w:tblGrid>
      <w:tr>
        <w:trPr>
          <w:tblHeader/>
        </w:trPr>
        <w:tc>
          <w:tcPr>
            <w:tcW w:w="276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597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2762" w:type="dxa"/>
          </w:tcPr>
          <w:p>
            <w:pPr/>
            <w:r>
              <w:t xml:space="preserve">Order number</w:t>
            </w:r>
          </w:p>
        </w:tc>
        <w:tc>
          <w:tcPr>
            <w:tcW w:w="6597" w:type="dxa"/>
          </w:tcPr>
          <w:p>
            <w:pPr/>
            <w:r>
              <w:t xml:space="preserve">RF-261020-GNVE68</w:t>
            </w:r>
          </w:p>
        </w:tc>
      </w:tr>
      <w:tr>
        <w:tc>
          <w:tcPr>
            <w:tcW w:w="2762" w:type="dxa"/>
          </w:tcPr>
          <w:p>
            <w:pPr/>
            <w:r>
              <w:t xml:space="preserve">Phone</w:t>
            </w:r>
          </w:p>
        </w:tc>
        <w:tc>
          <w:tcPr>
            <w:tcW w:w="6597" w:type="dxa"/>
          </w:tcPr>
          <w:p>
            <w:pPr/>
            <w:r>
              <w:t xml:space="preserve">realme 5, 256 GB, blue</w:t>
            </w:r>
          </w:p>
        </w:tc>
      </w:tr>
      <w:tr>
        <w:tc>
          <w:tcPr>
            <w:tcW w:w="2762" w:type="dxa"/>
          </w:tcPr>
          <w:p>
            <w:pPr/>
            <w:r>
              <w:t xml:space="preserve">Seller</w:t>
            </w:r>
          </w:p>
        </w:tc>
        <w:tc>
          <w:tcPr>
            <w:tcW w:w="6597" w:type="dxa"/>
          </w:tcPr>
          <w:p>
            <w:pPr/>
            <w:r>
              <w:t xml:space="preserve">Mark Alphy Miasis Refurb PHstore</w:t>
            </w:r>
          </w:p>
        </w:tc>
      </w:tr>
      <w:tr>
        <w:tc>
          <w:tcPr>
            <w:tcW w:w="2762" w:type="dxa"/>
          </w:tcPr>
          <w:p>
            <w:pPr/>
            <w:r>
              <w:t xml:space="preserve">Buyer</w:t>
            </w:r>
          </w:p>
        </w:tc>
        <w:tc>
          <w:tcPr>
            <w:tcW w:w="6597" w:type="dxa"/>
          </w:tcPr>
          <w:p>
            <w:pPr/>
            <w:r>
              <w:t xml:space="preserve">Julius John C.</w:t>
            </w:r>
          </w:p>
        </w:tc>
      </w:tr>
      <w:tr>
        <w:tc>
          <w:tcPr>
            <w:tcW w:w="2762" w:type="dxa"/>
          </w:tcPr>
          <w:p>
            <w:pPr/>
            <w:r>
              <w:t xml:space="preserve">Payment</w:t>
            </w:r>
          </w:p>
        </w:tc>
        <w:tc>
          <w:tcPr>
            <w:tcW w:w="6597" w:type="dxa"/>
          </w:tcPr>
          <w:p>
            <w:pPr/>
            <w:r>
              <w:t xml:space="preserve">Cash, at the Techno Fair booth</w:t>
            </w:r>
          </w:p>
        </w:tc>
      </w:tr>
      <w:tr>
        <w:tc>
          <w:tcPr>
            <w:tcW w:w="2762" w:type="dxa"/>
          </w:tcPr>
          <w:p>
            <w:pPr/>
            <w:r>
              <w:t xml:space="preserve">Amount paid</w:t>
            </w:r>
          </w:p>
        </w:tc>
        <w:tc>
          <w:tcPr>
            <w:tcW w:w="6597" w:type="dxa"/>
          </w:tcPr>
          <w:p>
            <w:pPr/>
            <w:r>
              <w:t xml:space="preserve">₱1,000</w:t>
            </w:r>
          </w:p>
        </w:tc>
      </w:tr>
    </w:tbl>
    <w:p>
      <w:pPr>
        <w:pStyle w:val="Heading2"/>
      </w:pPr>
      <w:r>
        <w:t xml:space="preserve">How much each side earned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33"/>
        <w:gridCol w:w="2724"/>
        <w:gridCol w:w="2802"/>
      </w:tblGrid>
      <w:tr>
        <w:trPr>
          <w:tblHeader/>
        </w:trPr>
        <w:tc>
          <w:tcPr>
            <w:tcW w:w="3833" w:type="dxa"/>
            <w:shd w:val="clear" w:color="auto" w:fill="F2F2F2"/>
          </w:tcPr>
          <w:p>
            <w:pPr/>
          </w:p>
        </w:tc>
        <w:tc>
          <w:tcPr>
            <w:tcW w:w="2724" w:type="dxa"/>
            <w:shd w:val="clear" w:color="auto" w:fill="F2F2F2"/>
          </w:tcPr>
          <w:p>
            <w:pPr/>
            <w:r>
              <w:t xml:space="preserve">Seller (₱)</w:t>
            </w:r>
          </w:p>
        </w:tc>
        <w:tc>
          <w:tcPr>
            <w:tcW w:w="2802" w:type="dxa"/>
            <w:shd w:val="clear" w:color="auto" w:fill="F2F2F2"/>
          </w:tcPr>
          <w:p>
            <w:pPr/>
            <w:r>
              <w:t xml:space="preserve">ReFon (₱)</w:t>
            </w:r>
          </w:p>
        </w:tc>
      </w:tr>
      <w:tr>
        <w:tc>
          <w:tcPr>
            <w:tcW w:w="3833" w:type="dxa"/>
          </w:tcPr>
          <w:p>
            <w:pPr/>
            <w:r>
              <w:t xml:space="preserve">Money received</w:t>
            </w:r>
          </w:p>
        </w:tc>
        <w:tc>
          <w:tcPr>
            <w:tcW w:w="2724" w:type="dxa"/>
          </w:tcPr>
          <w:p>
            <w:pPr/>
            <w:r>
              <w:t xml:space="preserve">1,000</w:t>
            </w:r>
          </w:p>
        </w:tc>
        <w:tc>
          <w:tcPr>
            <w:tcW w:w="2802" w:type="dxa"/>
          </w:tcPr>
          <w:p>
            <w:pPr/>
            <w:r>
              <w:t xml:space="preserve">0</w:t>
            </w:r>
          </w:p>
        </w:tc>
      </w:tr>
      <w:tr>
        <w:tc>
          <w:tcPr>
            <w:tcW w:w="3833" w:type="dxa"/>
          </w:tcPr>
          <w:p>
            <w:pPr/>
            <w:r>
              <w:t xml:space="preserve">Costs</w:t>
            </w:r>
          </w:p>
        </w:tc>
        <w:tc>
          <w:tcPr>
            <w:tcW w:w="2724" w:type="dxa"/>
          </w:tcPr>
          <w:p>
            <w:pPr/>
            <w:r>
              <w:t xml:space="preserve">0</w:t>
            </w:r>
          </w:p>
        </w:tc>
        <w:tc>
          <w:tcPr>
            <w:tcW w:w="2802" w:type="dxa"/>
          </w:tcPr>
          <w:p>
            <w:pPr/>
            <w:r>
              <w:t xml:space="preserve">0</w:t>
            </w:r>
          </w:p>
        </w:tc>
      </w:tr>
      <w:tr>
        <w:tc>
          <w:tcPr>
            <w:tcW w:w="3833" w:type="dxa"/>
          </w:tcPr>
          <w:p>
            <w:pPr/>
            <w:r>
              <w:rPr>
                <w:b/>
              </w:rPr>
              <w:t xml:space="preserve">Gain</w:t>
            </w:r>
          </w:p>
        </w:tc>
        <w:tc>
          <w:tcPr>
            <w:tcW w:w="2724" w:type="dxa"/>
          </w:tcPr>
          <w:p>
            <w:pPr/>
            <w:r>
              <w:rPr>
                <w:b/>
              </w:rPr>
              <w:t xml:space="preserve">1,000</w:t>
            </w:r>
          </w:p>
        </w:tc>
        <w:tc>
          <w:tcPr>
            <w:tcW w:w="2802" w:type="dxa"/>
          </w:tcPr>
          <w:p>
            <w:pPr/>
            <w:r>
              <w:rPr>
                <w:b/>
              </w:rPr>
              <w:t xml:space="preserve">0</w:t>
            </w:r>
          </w:p>
        </w:tc>
      </w:tr>
    </w:tbl>
    <w:p>
      <w:pPr/>
      <w:r>
        <w:t xml:space="preserve">If ReFon charged a 3% fee, ReFon would earn ₱30 and the seller would keep ₱970.</w:t>
      </w:r>
    </w:p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</w:pPr>
      <w:r>
        <w:t xml:space="preserve">The order shows ₱1,079 because the system added a ₱79 delivery fee. There was no delivery, so the real amount is ₱1,000.</w:t>
      </w:r>
    </w:p>
    <w:p>
      <w:pPr>
        <w:pStyle w:val="ListParagraph"/>
        <w:numPr>
          <w:ilvl w:val="0"/>
          <w:numId w:val="2"/>
        </w:numPr>
      </w:pPr>
      <w:r>
        <w:t xml:space="preserve">The phone was the seller's own unused phone, so its cost is counted as ₱0.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ReFon Financial Gain Report — Oct 20 Sales (Updated)</dc:title>
  <dc:description>Claude Docs node/9f88a1fb-6c20@11 docx-w7</dc:description>
  <cp:revision>11</cp:revision>
</cp:coreProperties>
</file>