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FACTURA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70"/>
        <w:gridCol w:w="750"/>
        <w:gridCol w:w="1620"/>
        <w:gridCol w:w="1365"/>
        <w:gridCol w:w="1515"/>
        <w:tblGridChange w:id="0">
          <w:tblGrid>
            <w:gridCol w:w="3870"/>
            <w:gridCol w:w="750"/>
            <w:gridCol w:w="1620"/>
            <w:gridCol w:w="1365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@{id_vendedor}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@{nombre_vendedor}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@{fecha}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@{direccion_vendedor}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Nº de 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@{id_factura}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sz w:val="18"/>
                <w:szCs w:val="18"/>
                <w:rtl w:val="0"/>
              </w:rPr>
              <w:t xml:space="preserve">&lt;Condiciones de pago (vencidas en el recibo, vencidas en X días)&gt;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Envie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@{id_cliente}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@{id_cliente}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@{nombre_cliente}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@{direccion_cliente}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@{direccion_cliente}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69696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Observaciones / Instrucciones de pago: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Base Imponible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@{base}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IRPF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@{descuento}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@{iva}%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Roboto" w:cs="Roboto" w:eastAsia="Roboto" w:hAnsi="Roboto"/>
                <w:b w:val="1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TOTAL FACTURA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@{total}€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JZw/FZ/6Nx0YqJ+Rsk6RyqHMrg==">AMUW2mXcjkJPBgDW2wOQj4MtmsW3Vw09OLp6kDlfAYOQcXJkHg9fN9HaQ82x4BqCt3eOa+bAxVgNpEGgzNHf5any4Ya6H6dI6XKUYk2AwRY19duWMCW5dAU=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