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nulffnc7hi8" w:id="0"/>
      <w:bookmarkEnd w:id="0"/>
      <w:r w:rsidDel="00000000" w:rsidR="00000000" w:rsidRPr="00000000">
        <w:rPr>
          <w:b w:val="1"/>
          <w:rtl w:val="0"/>
        </w:rPr>
        <w:t xml:space="preserve">FACTURA EXPORTACIÓN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Nº de factura: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@{id_factura}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@{fecha}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CIF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@{id_vendedor}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@{nombre_vendedor}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@{direccion_vendedor}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CLIENTE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@{id_cliente}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@{nombre_cliente}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:@{direccion_cliente}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 DE ENVÍO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@{direccion_cliente}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545"/>
        <w:gridCol w:w="1380"/>
        <w:gridCol w:w="1365"/>
        <w:gridCol w:w="1515"/>
        <w:tblGridChange w:id="0">
          <w:tblGrid>
            <w:gridCol w:w="3315"/>
            <w:gridCol w:w="1545"/>
            <w:gridCol w:w="138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@{descripcion}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@{unidades}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@{precioU}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@{precioT}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BASE IMPONIBLE: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@{base}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5760" w:firstLine="72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IRPF: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ab/>
        <w:tab/>
        <w:t xml:space="preserve">@{IRPF}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IVA: </w:t>
        <w:tab/>
        <w:tab/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@{IVA}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28"/>
          <w:szCs w:val="28"/>
          <w:rtl w:val="0"/>
        </w:rPr>
        <w:t xml:space="preserve">TOTAL:</w:t>
        <w:tab/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@{total}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