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sz w:val="28"/>
        </w:rPr>
        <w:t>Asignación [2]: Caso práctico 2 colaborativo: Exporte el modelo del dataset OULAD a un DBMS, ETL y EDA extendido en Python.</w:t>
      </w:r>
    </w:p>
    <w:p>
      <w:pPr>
        <w:spacing w:line="480" w:lineRule="auto" w:before="0" w:after="0"/>
      </w:pPr>
    </w:p>
    <w:p>
      <w:pPr>
        <w:spacing w:line="480" w:lineRule="auto" w:before="0" w:after="0"/>
      </w:pPr>
    </w:p>
    <w:p>
      <w:pPr>
        <w:spacing w:line="480" w:lineRule="auto" w:before="0" w:after="0"/>
        <w:jc w:val="center"/>
      </w:pPr>
      <w:r>
        <w:rPr>
          <w:rFonts w:ascii="Times New Roman" w:hAnsi="Times New Roman"/>
          <w:b w:val="0"/>
          <w:sz w:val="24"/>
        </w:rPr>
        <w:t>Por</w:t>
      </w:r>
    </w:p>
    <w:p>
      <w:pPr>
        <w:spacing w:line="480" w:lineRule="auto" w:before="0" w:after="0"/>
        <w:jc w:val="center"/>
      </w:pPr>
      <w:r>
        <w:rPr>
          <w:rFonts w:ascii="Times New Roman" w:hAnsi="Times New Roman"/>
          <w:b/>
          <w:sz w:val="24"/>
        </w:rPr>
        <w:t>Marlenis Judith Concepción Cuevas</w:t>
      </w:r>
    </w:p>
    <w:p>
      <w:pPr>
        <w:spacing w:line="480" w:lineRule="auto" w:before="0" w:after="0"/>
      </w:pPr>
    </w:p>
    <w:p>
      <w:pPr>
        <w:spacing w:line="480" w:lineRule="auto" w:before="0" w:after="0"/>
        <w:jc w:val="center"/>
      </w:pPr>
      <w:r>
        <w:rPr>
          <w:rFonts w:ascii="Times New Roman" w:hAnsi="Times New Roman"/>
          <w:b w:val="0"/>
          <w:sz w:val="24"/>
        </w:rPr>
        <w:t>Asignación presentada a la</w:t>
      </w:r>
    </w:p>
    <w:p>
      <w:pPr>
        <w:spacing w:line="480" w:lineRule="auto" w:before="0" w:after="0"/>
        <w:jc w:val="center"/>
      </w:pPr>
      <w:r>
        <w:rPr>
          <w:rFonts w:ascii="Times New Roman" w:hAnsi="Times New Roman"/>
          <w:b w:val="0"/>
          <w:sz w:val="24"/>
        </w:rPr>
        <w:t>Escuela de Informática, Facultad de Ciencias, como cumplimiento del curso Ciencia de Datos I (INF-8237-C2).</w:t>
      </w:r>
    </w:p>
    <w:p>
      <w:pPr>
        <w:spacing w:line="480" w:lineRule="auto" w:before="0" w:after="0"/>
        <w:jc w:val="center"/>
      </w:pPr>
      <w:r>
        <w:rPr>
          <w:rFonts w:ascii="Times New Roman" w:hAnsi="Times New Roman"/>
          <w:b w:val="0"/>
          <w:sz w:val="24"/>
        </w:rPr>
        <w:t>Dr. Silverio del Orbe Abad.</w:t>
      </w:r>
    </w:p>
    <w:p>
      <w:pPr>
        <w:spacing w:line="480" w:lineRule="auto" w:before="0" w:after="0"/>
      </w:pPr>
    </w:p>
    <w:p>
      <w:pPr>
        <w:spacing w:line="480" w:lineRule="auto" w:before="0" w:after="0"/>
        <w:jc w:val="center"/>
      </w:pPr>
      <w:r>
        <w:rPr>
          <w:rFonts w:ascii="Times New Roman" w:hAnsi="Times New Roman"/>
          <w:b w:val="0"/>
          <w:sz w:val="24"/>
        </w:rPr>
        <w:t>Universidad Autónoma de Santo Domingo (UASD)</w:t>
      </w:r>
    </w:p>
    <w:p>
      <w:pPr>
        <w:spacing w:line="480" w:lineRule="auto" w:before="0" w:after="0"/>
        <w:jc w:val="center"/>
      </w:pPr>
      <w:r>
        <w:rPr>
          <w:rFonts w:ascii="Times New Roman" w:hAnsi="Times New Roman"/>
          <w:b w:val="0"/>
          <w:sz w:val="24"/>
        </w:rPr>
        <w:t>2026</w:t>
      </w:r>
    </w:p>
    <w:p>
      <w:r>
        <w:br w:type="page"/>
      </w:r>
    </w:p>
    <w:p>
      <w:pPr>
        <w:pStyle w:val="Heading1"/>
        <w:spacing w:line="480" w:lineRule="auto" w:before="0" w:after="0"/>
        <w:jc w:val="center"/>
      </w:pPr>
      <w:r>
        <w:rPr>
          <w:rFonts w:ascii="Times New Roman" w:hAnsi="Times New Roman"/>
          <w:b/>
          <w:sz w:val="24"/>
        </w:rPr>
        <w:t>Contenido</w:t>
      </w:r>
    </w:p>
    <w:p>
      <w:pPr>
        <w:spacing w:line="480" w:lineRule="auto" w:before="0" w:after="0"/>
      </w:pPr>
      <w:r>
        <w:rPr>
          <w:rFonts w:ascii="Times New Roman" w:hAnsi="Times New Roman"/>
          <w:b w:val="0"/>
          <w:i w:val="0"/>
          <w:sz w:val="24"/>
        </w:rPr>
        <w:t>Resumen</w:t>
      </w:r>
    </w:p>
    <w:p>
      <w:pPr>
        <w:spacing w:line="480" w:lineRule="auto" w:before="0" w:after="0"/>
      </w:pPr>
      <w:r>
        <w:rPr>
          <w:rFonts w:ascii="Times New Roman" w:hAnsi="Times New Roman"/>
          <w:b w:val="0"/>
          <w:i w:val="0"/>
          <w:sz w:val="24"/>
        </w:rPr>
        <w:t>Abstract</w:t>
      </w:r>
    </w:p>
    <w:p>
      <w:pPr>
        <w:spacing w:line="480" w:lineRule="auto" w:before="0" w:after="0"/>
      </w:pPr>
      <w:r>
        <w:rPr>
          <w:rFonts w:ascii="Times New Roman" w:hAnsi="Times New Roman"/>
          <w:b w:val="0"/>
          <w:i w:val="0"/>
          <w:sz w:val="24"/>
        </w:rPr>
        <w:t>Capítulo I: Introducción</w:t>
      </w:r>
    </w:p>
    <w:p>
      <w:pPr>
        <w:spacing w:line="480" w:lineRule="auto" w:before="0" w:after="0"/>
      </w:pPr>
      <w:r>
        <w:rPr>
          <w:rFonts w:ascii="Times New Roman" w:hAnsi="Times New Roman"/>
          <w:b w:val="0"/>
          <w:i w:val="0"/>
          <w:sz w:val="24"/>
        </w:rPr>
        <w:t>Marco de referencia</w:t>
      </w:r>
    </w:p>
    <w:p>
      <w:pPr>
        <w:spacing w:line="480" w:lineRule="auto" w:before="0" w:after="0"/>
      </w:pPr>
      <w:r>
        <w:rPr>
          <w:rFonts w:ascii="Times New Roman" w:hAnsi="Times New Roman"/>
          <w:b w:val="0"/>
          <w:i w:val="0"/>
          <w:sz w:val="24"/>
        </w:rPr>
        <w:t>Metodología</w:t>
      </w:r>
    </w:p>
    <w:p>
      <w:pPr>
        <w:spacing w:line="480" w:lineRule="auto" w:before="0" w:after="0"/>
      </w:pPr>
      <w:r>
        <w:rPr>
          <w:rFonts w:ascii="Times New Roman" w:hAnsi="Times New Roman"/>
          <w:b w:val="0"/>
          <w:i w:val="0"/>
          <w:sz w:val="24"/>
        </w:rPr>
        <w:t>Resultados del EDA extendido</w:t>
      </w:r>
    </w:p>
    <w:p>
      <w:pPr>
        <w:spacing w:line="480" w:lineRule="auto" w:before="0" w:after="0"/>
      </w:pPr>
      <w:r>
        <w:rPr>
          <w:rFonts w:ascii="Times New Roman" w:hAnsi="Times New Roman"/>
          <w:b w:val="0"/>
          <w:i w:val="0"/>
          <w:sz w:val="24"/>
        </w:rPr>
        <w:t>Discusión</w:t>
      </w:r>
    </w:p>
    <w:p>
      <w:pPr>
        <w:spacing w:line="480" w:lineRule="auto" w:before="0" w:after="0"/>
      </w:pPr>
      <w:r>
        <w:rPr>
          <w:rFonts w:ascii="Times New Roman" w:hAnsi="Times New Roman"/>
          <w:b w:val="0"/>
          <w:i w:val="0"/>
          <w:sz w:val="24"/>
        </w:rPr>
        <w:t>Conclusiones y recomendaciones</w:t>
      </w:r>
    </w:p>
    <w:p>
      <w:pPr>
        <w:spacing w:line="480" w:lineRule="auto" w:before="0" w:after="0"/>
      </w:pPr>
      <w:r>
        <w:rPr>
          <w:rFonts w:ascii="Times New Roman" w:hAnsi="Times New Roman"/>
          <w:b w:val="0"/>
          <w:i w:val="0"/>
          <w:sz w:val="24"/>
        </w:rPr>
        <w:t>Referencias</w:t>
      </w:r>
    </w:p>
    <w:p>
      <w:pPr>
        <w:spacing w:line="480" w:lineRule="auto" w:before="0" w:after="0"/>
      </w:pPr>
      <w:r>
        <w:rPr>
          <w:rFonts w:ascii="Times New Roman" w:hAnsi="Times New Roman"/>
          <w:b w:val="0"/>
          <w:i w:val="0"/>
          <w:sz w:val="24"/>
        </w:rPr>
        <w:t>Anexos</w:t>
      </w:r>
    </w:p>
    <w:p>
      <w:r>
        <w:br w:type="page"/>
      </w:r>
    </w:p>
    <w:p>
      <w:pPr>
        <w:pStyle w:val="Heading1"/>
        <w:spacing w:line="480" w:lineRule="auto" w:before="0" w:after="0"/>
        <w:jc w:val="center"/>
      </w:pPr>
      <w:r>
        <w:rPr>
          <w:rFonts w:ascii="Times New Roman" w:hAnsi="Times New Roman"/>
          <w:b/>
          <w:sz w:val="24"/>
        </w:rPr>
        <w:t>Resumen</w:t>
      </w:r>
    </w:p>
    <w:p>
      <w:pPr>
        <w:spacing w:line="480" w:lineRule="auto" w:before="0" w:after="0"/>
        <w:ind w:firstLine="720"/>
      </w:pPr>
      <w:r>
        <w:rPr>
          <w:rFonts w:ascii="Times New Roman" w:hAnsi="Times New Roman"/>
          <w:b w:val="0"/>
          <w:i w:val="0"/>
          <w:sz w:val="24"/>
        </w:rPr>
        <w:t>Este artículo presenta el Caso práctico 2 colaborativo basado en el Open University Learning Analytics Dataset (OULAD). El trabajo integra un modelo relacional con claves primarias, claves foráneas, campos ordinales y estructuras FullDomain; además, organiza un ETL en Python para limpiar, cargar y preparar los datos. A partir de 32,593 registros estudiantiles, se ejecutó un EDA extendido con estadísticas descriptivas, correlación, ANOVA, boxplots, campana de Gauss, dispersión y matrices de confusión. Los hallazgos muestran que la actividad temprana en el entorno virtual de aprendizaje aporta señales útiles para comprender el rendimiento final y apoyar estrategias de alerta académica.</w:t>
      </w:r>
    </w:p>
    <w:p>
      <w:pPr>
        <w:spacing w:line="480" w:lineRule="auto" w:before="0" w:after="0"/>
        <w:ind w:firstLine="720"/>
      </w:pPr>
      <w:r>
        <w:rPr>
          <w:rFonts w:ascii="Times New Roman" w:hAnsi="Times New Roman"/>
          <w:b/>
          <w:sz w:val="24"/>
        </w:rPr>
        <w:t xml:space="preserve">Palabras clave: </w:t>
      </w:r>
      <w:r>
        <w:rPr>
          <w:rFonts w:ascii="Times New Roman" w:hAnsi="Times New Roman"/>
          <w:sz w:val="24"/>
        </w:rPr>
        <w:t>aprendizaje en línea, análisis de datos educativos, predicción de desempeño académico, ETL, OULAD, EDA extendido</w:t>
      </w:r>
    </w:p>
    <w:p>
      <w:pPr>
        <w:pStyle w:val="Heading1"/>
        <w:spacing w:line="480" w:lineRule="auto" w:before="0" w:after="0"/>
        <w:jc w:val="center"/>
      </w:pPr>
      <w:r>
        <w:rPr>
          <w:rFonts w:ascii="Times New Roman" w:hAnsi="Times New Roman"/>
          <w:b/>
          <w:sz w:val="24"/>
        </w:rPr>
        <w:t>Abstract</w:t>
      </w:r>
    </w:p>
    <w:p>
      <w:pPr>
        <w:spacing w:line="480" w:lineRule="auto" w:before="0" w:after="0"/>
        <w:ind w:firstLine="720"/>
      </w:pPr>
      <w:r>
        <w:rPr>
          <w:rFonts w:ascii="Times New Roman" w:hAnsi="Times New Roman"/>
          <w:b w:val="0"/>
          <w:i w:val="0"/>
          <w:sz w:val="24"/>
        </w:rPr>
        <w:t>This article presents the collaborative Practical Case 2 based on OULAD. The work includes a relational model, ordinal fields, FullDomain structures, a Python ETL process and an extended EDA with descriptive statistics, correlation, ANOVA, boxplots, Gaussian distributions, scatter plots and confusion matrices. Findings show that early activity in the virtual learning environment provides useful signals to understand academic performance.</w:t>
      </w:r>
    </w:p>
    <w:p>
      <w:pPr>
        <w:spacing w:line="480" w:lineRule="auto" w:before="0" w:after="0"/>
        <w:ind w:firstLine="720"/>
      </w:pPr>
      <w:r>
        <w:rPr>
          <w:rFonts w:ascii="Times New Roman" w:hAnsi="Times New Roman"/>
          <w:b w:val="0"/>
          <w:i w:val="0"/>
          <w:sz w:val="24"/>
        </w:rPr>
        <w:t>Keywords: online learning, educational data mining, ETL, OULAD, extended exploratory data analysis</w:t>
      </w:r>
    </w:p>
    <w:p>
      <w:r>
        <w:br w:type="page"/>
      </w:r>
    </w:p>
    <w:p>
      <w:pPr>
        <w:pStyle w:val="Heading1"/>
        <w:spacing w:line="480" w:lineRule="auto" w:before="0" w:after="0"/>
        <w:jc w:val="center"/>
      </w:pPr>
      <w:r>
        <w:rPr>
          <w:rFonts w:ascii="Times New Roman" w:hAnsi="Times New Roman"/>
          <w:b/>
          <w:sz w:val="24"/>
        </w:rPr>
        <w:t>Capítulo I: Introducción</w:t>
      </w:r>
    </w:p>
    <w:p>
      <w:pPr>
        <w:spacing w:line="480" w:lineRule="auto" w:before="0" w:after="0"/>
        <w:ind w:firstLine="720"/>
      </w:pPr>
      <w:r>
        <w:rPr>
          <w:rFonts w:ascii="Times New Roman" w:hAnsi="Times New Roman"/>
          <w:b w:val="0"/>
          <w:i w:val="0"/>
          <w:sz w:val="24"/>
        </w:rPr>
        <w:t>El aprendizaje en línea ha crecido con la adopción de plataformas educativas virtuales. En ese contexto, el dataset OULAD permite estudiar características demográficas, interacciones en el entorno virtual de aprendizaje y resultados académicos. Baker y Yacef (2009) describen la minería de datos educativa como un campo que aprovecha datos de contextos educativos para comprender y mejorar la enseñanza.</w:t>
      </w:r>
    </w:p>
    <w:p>
      <w:pPr>
        <w:spacing w:line="480" w:lineRule="auto" w:before="0" w:after="0"/>
        <w:ind w:firstLine="720"/>
      </w:pPr>
      <w:r>
        <w:rPr>
          <w:rFonts w:ascii="Times New Roman" w:hAnsi="Times New Roman"/>
          <w:b w:val="0"/>
          <w:i w:val="0"/>
          <w:sz w:val="24"/>
        </w:rPr>
        <w:t>El objetivo de este trabajo es exportar el modelo OULAD a una estructura DBMS, documentar integridad PK/FK, crear campos ordinales y ejecutar un ETL con EDA extendido en Python. La pregunta central es qué patrones descriptivos e inferenciales ayudan a explicar el desempeño final (Open University, 2023).</w:t>
      </w:r>
    </w:p>
    <w:p>
      <w:pPr>
        <w:spacing w:line="480" w:lineRule="auto" w:before="0" w:after="0"/>
        <w:ind w:firstLine="720"/>
      </w:pPr>
      <w:r>
        <w:rPr>
          <w:rFonts w:ascii="Times New Roman" w:hAnsi="Times New Roman"/>
          <w:b w:val="0"/>
          <w:i w:val="0"/>
          <w:sz w:val="24"/>
        </w:rPr>
        <w:t>Se hipotetiza que la actividad temprana en el VLE y algunas variables académicas previas se relacionan con el resultado final de los estudiantes.</w:t>
      </w:r>
    </w:p>
    <w:p>
      <w:pPr>
        <w:pStyle w:val="Heading1"/>
        <w:spacing w:line="480" w:lineRule="auto" w:before="0" w:after="0"/>
        <w:jc w:val="center"/>
      </w:pPr>
      <w:r>
        <w:rPr>
          <w:rFonts w:ascii="Times New Roman" w:hAnsi="Times New Roman"/>
          <w:b/>
          <w:sz w:val="24"/>
        </w:rPr>
        <w:t>Marco de referencia</w:t>
      </w:r>
    </w:p>
    <w:p>
      <w:pPr>
        <w:pStyle w:val="Heading2"/>
        <w:spacing w:line="480" w:lineRule="auto" w:before="0" w:after="0"/>
        <w:jc w:val="left"/>
      </w:pPr>
      <w:r>
        <w:rPr>
          <w:rFonts w:ascii="Times New Roman" w:hAnsi="Times New Roman"/>
          <w:b/>
          <w:sz w:val="24"/>
        </w:rPr>
        <w:t>Minería de datos educativa</w:t>
      </w:r>
    </w:p>
    <w:p>
      <w:pPr>
        <w:spacing w:line="480" w:lineRule="auto" w:before="0" w:after="0"/>
        <w:ind w:firstLine="720"/>
      </w:pPr>
      <w:r>
        <w:rPr>
          <w:rFonts w:ascii="Times New Roman" w:hAnsi="Times New Roman"/>
          <w:b w:val="0"/>
          <w:i w:val="0"/>
          <w:sz w:val="24"/>
        </w:rPr>
        <w:t>La minería de datos educativa aplica estadística, programación y aprendizaje automático a datos de procesos formativos. Su utilidad principal es convertir registros académicos en evidencia para detectar riesgos, mejorar contenidos y orientar decisiones pedagógicas (Baker y Yacef, 2009).</w:t>
      </w:r>
    </w:p>
    <w:p>
      <w:pPr>
        <w:pStyle w:val="Heading2"/>
        <w:spacing w:line="480" w:lineRule="auto" w:before="0" w:after="0"/>
        <w:jc w:val="left"/>
      </w:pPr>
      <w:r>
        <w:rPr>
          <w:rFonts w:ascii="Times New Roman" w:hAnsi="Times New Roman"/>
          <w:b/>
          <w:sz w:val="24"/>
        </w:rPr>
        <w:t>Analítica del aprendizaje y comportamiento en entornos virtuales</w:t>
      </w:r>
    </w:p>
    <w:p>
      <w:pPr>
        <w:spacing w:line="480" w:lineRule="auto" w:before="0" w:after="0"/>
        <w:ind w:firstLine="720"/>
      </w:pPr>
      <w:r>
        <w:rPr>
          <w:rFonts w:ascii="Times New Roman" w:hAnsi="Times New Roman"/>
          <w:b w:val="0"/>
          <w:i w:val="0"/>
          <w:sz w:val="24"/>
        </w:rPr>
        <w:t>Los entornos virtuales registran clics, accesos y actividad sobre recursos. Siemens y Baker (2012) explican que la analítica del aprendizaje y la minería de datos educativa convergen en el uso de esos datos para comprender y mejorar procesos educativos. En OULAD, estas interacciones son claves para el EDA.</w:t>
      </w:r>
    </w:p>
    <w:p>
      <w:pPr>
        <w:pStyle w:val="Heading2"/>
        <w:spacing w:line="480" w:lineRule="auto" w:before="0" w:after="0"/>
        <w:jc w:val="left"/>
      </w:pPr>
      <w:r>
        <w:rPr>
          <w:rFonts w:ascii="Times New Roman" w:hAnsi="Times New Roman"/>
          <w:b/>
          <w:sz w:val="24"/>
        </w:rPr>
        <w:t>Predictores de desempeño académico</w:t>
      </w:r>
    </w:p>
    <w:p>
      <w:pPr>
        <w:spacing w:line="480" w:lineRule="auto" w:before="0" w:after="0"/>
        <w:ind w:firstLine="720"/>
      </w:pPr>
      <w:r>
        <w:rPr>
          <w:rFonts w:ascii="Times New Roman" w:hAnsi="Times New Roman"/>
          <w:b w:val="0"/>
          <w:i w:val="0"/>
          <w:sz w:val="24"/>
        </w:rPr>
        <w:t>Los predictores de desempeño suelen incluir educación previa, intentos anteriores, créditos cursados y actividad en línea. En este caso, el análisis combina variables demográficas, académicas y de interacción para producir hallazgos descriptivos e inferenciales.</w:t>
      </w:r>
    </w:p>
    <w:p>
      <w:r>
        <w:br w:type="page"/>
      </w:r>
    </w:p>
    <w:p>
      <w:pPr>
        <w:pStyle w:val="Heading1"/>
        <w:spacing w:line="480" w:lineRule="auto" w:before="0" w:after="0"/>
        <w:jc w:val="center"/>
      </w:pPr>
      <w:r>
        <w:rPr>
          <w:rFonts w:ascii="Times New Roman" w:hAnsi="Times New Roman"/>
          <w:b/>
          <w:sz w:val="24"/>
        </w:rPr>
        <w:t>Metodología</w:t>
      </w:r>
    </w:p>
    <w:p>
      <w:pPr>
        <w:pStyle w:val="Heading2"/>
        <w:spacing w:line="480" w:lineRule="auto" w:before="0" w:after="0"/>
        <w:jc w:val="left"/>
      </w:pPr>
      <w:r>
        <w:rPr>
          <w:rFonts w:ascii="Times New Roman" w:hAnsi="Times New Roman"/>
          <w:b/>
          <w:sz w:val="24"/>
        </w:rPr>
        <w:t>Descripción de datos</w:t>
      </w:r>
    </w:p>
    <w:p>
      <w:pPr>
        <w:spacing w:line="480" w:lineRule="auto" w:before="0" w:after="0"/>
        <w:ind w:firstLine="720"/>
      </w:pPr>
      <w:r>
        <w:rPr>
          <w:rFonts w:ascii="Times New Roman" w:hAnsi="Times New Roman"/>
          <w:b w:val="0"/>
          <w:i w:val="0"/>
          <w:sz w:val="24"/>
        </w:rPr>
        <w:t>OULAD contiene 32,593 registros estudiantiles de la Open University. Incluye información demográfica, cursos, evaluaciones, calificaciones e interacciones en el VLE. Para el análisis se priorizaron variables limpias, codificadas y comparables.</w:t>
      </w:r>
    </w:p>
    <w:p>
      <w:pPr>
        <w:pStyle w:val="Heading2"/>
        <w:spacing w:line="480" w:lineRule="auto" w:before="0" w:after="0"/>
        <w:jc w:val="left"/>
      </w:pPr>
      <w:r>
        <w:rPr>
          <w:rFonts w:ascii="Times New Roman" w:hAnsi="Times New Roman"/>
          <w:b/>
          <w:sz w:val="24"/>
        </w:rPr>
        <w:t>Modelo DBMS, limpieza e integridad</w:t>
      </w:r>
    </w:p>
    <w:p>
      <w:pPr>
        <w:spacing w:line="480" w:lineRule="auto" w:before="0" w:after="0"/>
        <w:ind w:firstLine="720"/>
      </w:pPr>
      <w:r>
        <w:rPr>
          <w:rFonts w:ascii="Times New Roman" w:hAnsi="Times New Roman"/>
          <w:b w:val="0"/>
          <w:i w:val="0"/>
          <w:sz w:val="24"/>
        </w:rPr>
        <w:t>La limpieza incluyó valores faltantes, codificación ordinal de categorías, variables derivadas y validación de integridad. El archivo sql/01_schema_oulad.sql documenta el modelo relacional con PK, FK y FullDomain para ASSESS y VLE.</w:t>
      </w:r>
    </w:p>
    <w:p>
      <w:pPr>
        <w:pStyle w:val="Heading2"/>
        <w:spacing w:line="480" w:lineRule="auto" w:before="0" w:after="0"/>
        <w:jc w:val="left"/>
      </w:pPr>
      <w:r>
        <w:rPr>
          <w:rFonts w:ascii="Times New Roman" w:hAnsi="Times New Roman"/>
          <w:b/>
          <w:sz w:val="24"/>
        </w:rPr>
        <w:t>ETL orquestado</w:t>
      </w:r>
    </w:p>
    <w:p>
      <w:pPr>
        <w:spacing w:line="480" w:lineRule="auto" w:before="0" w:after="0"/>
        <w:ind w:firstLine="720"/>
      </w:pPr>
      <w:r>
        <w:rPr>
          <w:rFonts w:ascii="Times New Roman" w:hAnsi="Times New Roman"/>
          <w:b w:val="0"/>
          <w:i w:val="0"/>
          <w:sz w:val="24"/>
        </w:rPr>
        <w:t>El proceso ETL está orquestado en etl_orchestrator.py. Las utilidades se separan en módulos de src, incluyendo carga de datos, DBMS, EDA, características y métricas.</w:t>
      </w:r>
    </w:p>
    <w:p>
      <w:pPr>
        <w:pStyle w:val="Heading2"/>
        <w:spacing w:line="480" w:lineRule="auto" w:before="0" w:after="0"/>
        <w:jc w:val="left"/>
      </w:pPr>
      <w:r>
        <w:rPr>
          <w:rFonts w:ascii="Times New Roman" w:hAnsi="Times New Roman"/>
          <w:b/>
          <w:sz w:val="24"/>
        </w:rPr>
        <w:t>Análisis exploratorio de datos</w:t>
      </w:r>
    </w:p>
    <w:p>
      <w:pPr>
        <w:spacing w:line="480" w:lineRule="auto" w:before="0" w:after="0"/>
        <w:ind w:firstLine="720"/>
      </w:pPr>
      <w:r>
        <w:rPr>
          <w:rFonts w:ascii="Times New Roman" w:hAnsi="Times New Roman"/>
          <w:b w:val="0"/>
          <w:i w:val="0"/>
          <w:sz w:val="24"/>
        </w:rPr>
        <w:t>El EDA generó estadísticas descriptivas, correlaciones, ANOVA, histogramas, boxplots, dispersión, campana de Gauss, auditoría de valores faltantes y matrices de confusión.</w:t>
      </w:r>
    </w:p>
    <w:p>
      <w:pPr>
        <w:pStyle w:val="Heading2"/>
        <w:spacing w:line="480" w:lineRule="auto" w:before="0" w:after="0"/>
        <w:jc w:val="left"/>
      </w:pPr>
      <w:r>
        <w:rPr>
          <w:rFonts w:ascii="Times New Roman" w:hAnsi="Times New Roman"/>
          <w:b/>
          <w:sz w:val="24"/>
        </w:rPr>
        <w:t>Modelado predictivo</w:t>
      </w:r>
    </w:p>
    <w:p>
      <w:pPr>
        <w:spacing w:line="480" w:lineRule="auto" w:before="0" w:after="0"/>
        <w:ind w:firstLine="720"/>
      </w:pPr>
      <w:r>
        <w:rPr>
          <w:rFonts w:ascii="Times New Roman" w:hAnsi="Times New Roman"/>
          <w:b w:val="0"/>
          <w:i w:val="0"/>
          <w:sz w:val="24"/>
        </w:rPr>
        <w:t>El componente predictivo compara regresión logística, Random Forest y Gradient Boosting mediante precisión, recall, F1-score y matrices de confusión.</w:t>
      </w:r>
    </w:p>
    <w:p>
      <w:r>
        <w:br w:type="page"/>
      </w:r>
    </w:p>
    <w:p>
      <w:pPr>
        <w:pStyle w:val="Heading1"/>
        <w:spacing w:line="480" w:lineRule="auto" w:before="0" w:after="0"/>
        <w:jc w:val="center"/>
      </w:pPr>
      <w:r>
        <w:rPr>
          <w:rFonts w:ascii="Times New Roman" w:hAnsi="Times New Roman"/>
          <w:b/>
          <w:sz w:val="24"/>
        </w:rPr>
        <w:t>Resultados del EDA extendido</w:t>
      </w:r>
    </w:p>
    <w:p>
      <w:pPr>
        <w:pStyle w:val="Heading2"/>
        <w:spacing w:line="480" w:lineRule="auto" w:before="0" w:after="0"/>
        <w:jc w:val="left"/>
      </w:pPr>
      <w:r>
        <w:rPr>
          <w:rFonts w:ascii="Times New Roman" w:hAnsi="Times New Roman"/>
          <w:b/>
          <w:sz w:val="24"/>
        </w:rPr>
        <w:t>Estadísticas descriptivas</w:t>
      </w:r>
    </w:p>
    <w:p>
      <w:pPr>
        <w:spacing w:line="480" w:lineRule="auto" w:before="0" w:after="0"/>
        <w:ind w:firstLine="720"/>
      </w:pPr>
      <w:r>
        <w:rPr>
          <w:rFonts w:ascii="Times New Roman" w:hAnsi="Times New Roman"/>
          <w:b w:val="0"/>
          <w:i w:val="0"/>
          <w:sz w:val="24"/>
        </w:rPr>
        <w:t>El análisis descriptivo mostró diferencias de actividad entre estudiantes aprobados, reprobados y retirados. Las variables de interacción temprana presentaron alta dispersión y asimetría, lo que justifica usar gráficos de caja y análisis de distribución.</w:t>
      </w:r>
    </w:p>
    <w:p>
      <w:pPr>
        <w:pStyle w:val="Heading2"/>
        <w:spacing w:line="480" w:lineRule="auto" w:before="0" w:after="0"/>
        <w:jc w:val="left"/>
      </w:pPr>
      <w:r>
        <w:rPr>
          <w:rFonts w:ascii="Times New Roman" w:hAnsi="Times New Roman"/>
          <w:b/>
          <w:sz w:val="24"/>
        </w:rPr>
        <w:t>Hallazgos de análisis exploratorio</w:t>
      </w:r>
    </w:p>
    <w:p>
      <w:pPr>
        <w:spacing w:line="480" w:lineRule="auto" w:before="0" w:after="0"/>
        <w:ind w:firstLine="720"/>
      </w:pPr>
      <w:r>
        <w:rPr>
          <w:rFonts w:ascii="Times New Roman" w:hAnsi="Times New Roman"/>
          <w:b w:val="0"/>
          <w:i w:val="0"/>
          <w:sz w:val="24"/>
        </w:rPr>
        <w:t>La matriz de correlación mostró asociaciones relevantes entre actividad VLE, intentos previos y resultado académico. Los boxplots evidenciaron valores extremos, especialmente en variables de interacción.</w:t>
      </w:r>
    </w:p>
    <w:p>
      <w:pPr>
        <w:pStyle w:val="Heading2"/>
        <w:spacing w:line="480" w:lineRule="auto" w:before="0" w:after="0"/>
        <w:jc w:val="left"/>
      </w:pPr>
      <w:r>
        <w:rPr>
          <w:rFonts w:ascii="Times New Roman" w:hAnsi="Times New Roman"/>
          <w:b/>
          <w:sz w:val="24"/>
        </w:rPr>
        <w:t>Resultados de pruebas de hipótesis</w:t>
      </w:r>
    </w:p>
    <w:p>
      <w:pPr>
        <w:spacing w:line="480" w:lineRule="auto" w:before="0" w:after="0"/>
        <w:ind w:firstLine="720"/>
      </w:pPr>
      <w:r>
        <w:rPr>
          <w:rFonts w:ascii="Times New Roman" w:hAnsi="Times New Roman"/>
          <w:b w:val="0"/>
          <w:i w:val="0"/>
          <w:sz w:val="24"/>
        </w:rPr>
        <w:t>Las pruebas ANOVA permitieron comparar grupos por variables académicas y demográficas. Los resultados apoyan que existen diferencias de comportamiento entre categorías estudiantiles.</w:t>
      </w:r>
    </w:p>
    <w:p>
      <w:pPr>
        <w:pStyle w:val="Heading2"/>
        <w:spacing w:line="480" w:lineRule="auto" w:before="0" w:after="0"/>
        <w:jc w:val="left"/>
      </w:pPr>
      <w:r>
        <w:rPr>
          <w:rFonts w:ascii="Times New Roman" w:hAnsi="Times New Roman"/>
          <w:b/>
          <w:sz w:val="24"/>
        </w:rPr>
        <w:t>Desempeño de modelos predictivos</w:t>
      </w:r>
    </w:p>
    <w:p>
      <w:pPr>
        <w:spacing w:line="480" w:lineRule="auto" w:before="0" w:after="0"/>
        <w:ind w:firstLine="720"/>
      </w:pPr>
      <w:r>
        <w:rPr>
          <w:rFonts w:ascii="Times New Roman" w:hAnsi="Times New Roman"/>
          <w:b w:val="0"/>
          <w:i w:val="0"/>
          <w:sz w:val="24"/>
        </w:rPr>
        <w:t>Las matrices de confusión resumen el comportamiento de los modelos y permiten identificar aciertos y errores de clasificación. Este resultado complementa el EDA y cumple el componente inferencial/predictivo solicitado.</w:t>
      </w:r>
    </w:p>
    <w:p>
      <w:pPr>
        <w:jc w:val="center"/>
      </w:pPr>
      <w:r>
        <w:drawing>
          <wp:inline xmlns:a="http://schemas.openxmlformats.org/drawingml/2006/main" xmlns:pic="http://schemas.openxmlformats.org/drawingml/2006/picture">
            <wp:extent cx="4297680" cy="3803246"/>
            <wp:docPr id="1" name="Picture 1"/>
            <wp:cNvGraphicFramePr>
              <a:graphicFrameLocks noChangeAspect="1"/>
            </wp:cNvGraphicFramePr>
            <a:graphic>
              <a:graphicData uri="http://schemas.openxmlformats.org/drawingml/2006/picture">
                <pic:pic>
                  <pic:nvPicPr>
                    <pic:cNvPr id="0" name="correlation_matrix.png"/>
                    <pic:cNvPicPr/>
                  </pic:nvPicPr>
                  <pic:blipFill>
                    <a:blip r:embed="rId10"/>
                    <a:stretch>
                      <a:fillRect/>
                    </a:stretch>
                  </pic:blipFill>
                  <pic:spPr>
                    <a:xfrm>
                      <a:off x="0" y="0"/>
                      <a:ext cx="4297680" cy="3803246"/>
                    </a:xfrm>
                    <a:prstGeom prst="rect"/>
                  </pic:spPr>
                </pic:pic>
              </a:graphicData>
            </a:graphic>
          </wp:inline>
        </w:drawing>
      </w:r>
    </w:p>
    <w:p>
      <w:pPr>
        <w:spacing w:line="480" w:lineRule="auto" w:before="0" w:after="0"/>
        <w:jc w:val="left"/>
      </w:pPr>
      <w:r>
        <w:rPr>
          <w:rFonts w:ascii="Times New Roman" w:hAnsi="Times New Roman"/>
          <w:b/>
          <w:i w:val="0"/>
          <w:sz w:val="24"/>
        </w:rPr>
        <w:t>Figura 1</w:t>
      </w:r>
    </w:p>
    <w:p>
      <w:pPr>
        <w:spacing w:line="480" w:lineRule="auto" w:before="0" w:after="0"/>
        <w:jc w:val="left"/>
      </w:pPr>
      <w:r>
        <w:rPr>
          <w:rFonts w:ascii="Times New Roman" w:hAnsi="Times New Roman"/>
          <w:b w:val="0"/>
          <w:i/>
          <w:sz w:val="24"/>
        </w:rPr>
        <w:t>Matriz correlacional de variables numéricas.</w:t>
      </w:r>
    </w:p>
    <w:p>
      <w:pPr>
        <w:spacing w:line="480" w:lineRule="auto" w:before="0" w:after="0"/>
      </w:pPr>
      <w:r>
        <w:rPr>
          <w:rFonts w:ascii="Times New Roman" w:hAnsi="Times New Roman"/>
          <w:b w:val="0"/>
          <w:i w:val="0"/>
          <w:sz w:val="24"/>
        </w:rPr>
        <w:t>Nota. Elaboración propia a partir del procesamiento del dataset OULAD.</w:t>
      </w:r>
    </w:p>
    <w:p>
      <w:pPr>
        <w:jc w:val="center"/>
      </w:pPr>
      <w:r>
        <w:drawing>
          <wp:inline xmlns:a="http://schemas.openxmlformats.org/drawingml/2006/main" xmlns:pic="http://schemas.openxmlformats.org/drawingml/2006/picture">
            <wp:extent cx="4297680" cy="3068883"/>
            <wp:docPr id="2" name="Picture 2"/>
            <wp:cNvGraphicFramePr>
              <a:graphicFrameLocks noChangeAspect="1"/>
            </wp:cNvGraphicFramePr>
            <a:graphic>
              <a:graphicData uri="http://schemas.openxmlformats.org/drawingml/2006/picture">
                <pic:pic>
                  <pic:nvPicPr>
                    <pic:cNvPr id="0" name="boxplots.png"/>
                    <pic:cNvPicPr/>
                  </pic:nvPicPr>
                  <pic:blipFill>
                    <a:blip r:embed="rId11"/>
                    <a:stretch>
                      <a:fillRect/>
                    </a:stretch>
                  </pic:blipFill>
                  <pic:spPr>
                    <a:xfrm>
                      <a:off x="0" y="0"/>
                      <a:ext cx="4297680" cy="3068883"/>
                    </a:xfrm>
                    <a:prstGeom prst="rect"/>
                  </pic:spPr>
                </pic:pic>
              </a:graphicData>
            </a:graphic>
          </wp:inline>
        </w:drawing>
      </w:r>
    </w:p>
    <w:p>
      <w:pPr>
        <w:spacing w:line="480" w:lineRule="auto" w:before="0" w:after="0"/>
        <w:jc w:val="left"/>
      </w:pPr>
      <w:r>
        <w:rPr>
          <w:rFonts w:ascii="Times New Roman" w:hAnsi="Times New Roman"/>
          <w:b/>
          <w:i w:val="0"/>
          <w:sz w:val="24"/>
        </w:rPr>
        <w:t>Figura 2</w:t>
      </w:r>
    </w:p>
    <w:p>
      <w:pPr>
        <w:spacing w:line="480" w:lineRule="auto" w:before="0" w:after="0"/>
        <w:jc w:val="left"/>
      </w:pPr>
      <w:r>
        <w:rPr>
          <w:rFonts w:ascii="Times New Roman" w:hAnsi="Times New Roman"/>
          <w:b w:val="0"/>
          <w:i/>
          <w:sz w:val="24"/>
        </w:rPr>
        <w:t>Boxplots de variables seleccionadas por grupos.</w:t>
      </w:r>
    </w:p>
    <w:p>
      <w:pPr>
        <w:spacing w:line="480" w:lineRule="auto" w:before="0" w:after="0"/>
      </w:pPr>
      <w:r>
        <w:rPr>
          <w:rFonts w:ascii="Times New Roman" w:hAnsi="Times New Roman"/>
          <w:b w:val="0"/>
          <w:i w:val="0"/>
          <w:sz w:val="24"/>
        </w:rPr>
        <w:t>Nota. El gráfico permite observar diferencias y valores extremos en variables del análisis.</w:t>
      </w:r>
    </w:p>
    <w:p>
      <w:pPr>
        <w:pStyle w:val="Heading1"/>
        <w:spacing w:line="480" w:lineRule="auto" w:before="0" w:after="0"/>
        <w:jc w:val="center"/>
      </w:pPr>
      <w:r>
        <w:rPr>
          <w:rFonts w:ascii="Times New Roman" w:hAnsi="Times New Roman"/>
          <w:b/>
          <w:sz w:val="24"/>
        </w:rPr>
        <w:t>Discusión</w:t>
      </w:r>
    </w:p>
    <w:p>
      <w:pPr>
        <w:spacing w:line="480" w:lineRule="auto" w:before="0" w:after="0"/>
        <w:ind w:firstLine="720"/>
      </w:pPr>
      <w:r>
        <w:rPr>
          <w:rFonts w:ascii="Times New Roman" w:hAnsi="Times New Roman"/>
          <w:b w:val="0"/>
          <w:i w:val="0"/>
          <w:sz w:val="24"/>
        </w:rPr>
        <w:t>Los resultados se alinean con la literatura sobre analítica del aprendizaje. La combinación de modelo relacional, ETL reproducible y EDA extendido permite cumplir la exigencia técnica de la asignación y producir evidencia comprensible para decisiones académicas.</w:t>
      </w:r>
    </w:p>
    <w:p>
      <w:pPr>
        <w:pStyle w:val="Heading1"/>
        <w:spacing w:line="480" w:lineRule="auto" w:before="0" w:after="0"/>
        <w:jc w:val="center"/>
      </w:pPr>
      <w:r>
        <w:rPr>
          <w:rFonts w:ascii="Times New Roman" w:hAnsi="Times New Roman"/>
          <w:b/>
          <w:sz w:val="24"/>
        </w:rPr>
        <w:t>Conclusiones y recomendaciones</w:t>
      </w:r>
    </w:p>
    <w:p>
      <w:pPr>
        <w:spacing w:line="480" w:lineRule="auto" w:before="0" w:after="0"/>
        <w:ind w:firstLine="720"/>
      </w:pPr>
      <w:r>
        <w:rPr>
          <w:rFonts w:ascii="Times New Roman" w:hAnsi="Times New Roman"/>
          <w:b w:val="0"/>
          <w:i w:val="0"/>
          <w:sz w:val="24"/>
        </w:rPr>
        <w:t>El caso demuestra que OULAD puede organizarse en un DBMS, procesarse mediante ETL y analizarse con EDA extendido. La actividad temprana en el VLE aparece como una señal importante para estudiar desempeño académico.</w:t>
      </w:r>
    </w:p>
    <w:p>
      <w:pPr>
        <w:spacing w:line="480" w:lineRule="auto" w:before="0" w:after="0"/>
        <w:ind w:firstLine="720"/>
      </w:pPr>
      <w:r>
        <w:rPr>
          <w:rFonts w:ascii="Times New Roman" w:hAnsi="Times New Roman"/>
          <w:b w:val="0"/>
          <w:i w:val="0"/>
          <w:sz w:val="24"/>
        </w:rPr>
        <w:t>Se recomienda implementar alertas tempranas, fortalecer el seguimiento de estudiantes con baja actividad y mantener procesos de limpieza, documentación y validación de datos antes del análisis.</w:t>
      </w:r>
    </w:p>
    <w:p>
      <w:pPr>
        <w:spacing w:line="480" w:lineRule="auto" w:before="0" w:after="0"/>
        <w:ind w:firstLine="720"/>
      </w:pPr>
      <w:r>
        <w:rPr>
          <w:rFonts w:ascii="Times New Roman" w:hAnsi="Times New Roman"/>
          <w:b w:val="0"/>
          <w:i w:val="0"/>
          <w:sz w:val="24"/>
        </w:rPr>
        <w:t>Como limitación, el dataset pertenece a una institución específica. Trabajos futuros pueden integrar más variables socioeconómicas y modelos predictivos más avanzados.</w:t>
      </w:r>
    </w:p>
    <w:p>
      <w:r>
        <w:br w:type="page"/>
      </w:r>
    </w:p>
    <w:p>
      <w:pPr>
        <w:pStyle w:val="Heading1"/>
        <w:spacing w:line="480" w:lineRule="auto" w:before="0" w:after="0"/>
        <w:jc w:val="center"/>
      </w:pPr>
      <w:r>
        <w:rPr>
          <w:rFonts w:ascii="Times New Roman" w:hAnsi="Times New Roman"/>
          <w:b/>
          <w:sz w:val="24"/>
        </w:rPr>
        <w:t>Referencias</w:t>
      </w:r>
    </w:p>
    <w:p>
      <w:pPr>
        <w:spacing w:line="480" w:lineRule="auto" w:before="0" w:after="0"/>
        <w:ind w:left="720" w:hanging="720"/>
      </w:pPr>
      <w:r>
        <w:rPr>
          <w:rFonts w:ascii="Times New Roman" w:hAnsi="Times New Roman"/>
          <w:b w:val="0"/>
          <w:i w:val="0"/>
          <w:sz w:val="24"/>
        </w:rPr>
        <w:t>Baker, R. S., y Yacef, K. (2009). The state of educational data mining in 2009: A review and future visions. Journal of Educational Data Mining, 1(1), 3-17.</w:t>
      </w:r>
    </w:p>
    <w:p>
      <w:pPr>
        <w:spacing w:line="480" w:lineRule="auto" w:before="0" w:after="0"/>
        <w:ind w:left="720" w:hanging="720"/>
      </w:pPr>
      <w:r>
        <w:rPr>
          <w:rFonts w:ascii="Times New Roman" w:hAnsi="Times New Roman"/>
          <w:b w:val="0"/>
          <w:i w:val="0"/>
          <w:sz w:val="24"/>
        </w:rPr>
        <w:t>Open University. (2023). Open University Learning Analytics Dataset. UCI Machine Learning Repository. https://archive.ics.uci.edu/ml/datasets/Open+University+Learning+Analytics+dataset</w:t>
      </w:r>
    </w:p>
    <w:p>
      <w:pPr>
        <w:spacing w:line="480" w:lineRule="auto" w:before="0" w:after="0"/>
        <w:ind w:left="720" w:hanging="720"/>
      </w:pPr>
      <w:r>
        <w:rPr>
          <w:rFonts w:ascii="Times New Roman" w:hAnsi="Times New Roman"/>
          <w:b w:val="0"/>
          <w:i w:val="0"/>
          <w:sz w:val="24"/>
        </w:rPr>
        <w:t>Siemens, G., y Baker, R. S. D. (2012). Learning analytics and educational data mining: Towards communication and collaboration. Proceedings of the 2nd International Conference on Learning Analytics and Knowledge, 252-254.</w:t>
      </w:r>
    </w:p>
    <w:p>
      <w:r>
        <w:br w:type="page"/>
      </w:r>
    </w:p>
    <w:p>
      <w:pPr>
        <w:pStyle w:val="Heading1"/>
        <w:spacing w:line="480" w:lineRule="auto" w:before="0" w:after="0"/>
        <w:jc w:val="center"/>
      </w:pPr>
      <w:r>
        <w:rPr>
          <w:rFonts w:ascii="Times New Roman" w:hAnsi="Times New Roman"/>
          <w:b/>
          <w:sz w:val="24"/>
        </w:rPr>
        <w:t>Anexo A - Evidencia técnica de la entrega</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Requisito de la rúbrica</w:t>
            </w:r>
          </w:p>
        </w:tc>
        <w:tc>
          <w:tcPr>
            <w:tcW w:type="dxa" w:w="4680"/>
          </w:tcPr>
          <w:p>
            <w:r/>
            <w:r>
              <w:rPr>
                <w:rFonts w:ascii="Times New Roman" w:hAnsi="Times New Roman"/>
                <w:b/>
                <w:sz w:val="24"/>
              </w:rPr>
              <w:t>Evidencia incluida</w:t>
            </w:r>
          </w:p>
        </w:tc>
      </w:tr>
      <w:tr>
        <w:tc>
          <w:tcPr>
            <w:tcW w:type="dxa" w:w="4680"/>
          </w:tcPr>
          <w:p>
            <w:r/>
            <w:r>
              <w:rPr>
                <w:rFonts w:ascii="Times New Roman" w:hAnsi="Times New Roman"/>
                <w:b w:val="0"/>
                <w:sz w:val="24"/>
              </w:rPr>
              <w:t>Montar OULAD en un DBMS</w:t>
            </w:r>
          </w:p>
        </w:tc>
        <w:tc>
          <w:tcPr>
            <w:tcW w:type="dxa" w:w="4680"/>
          </w:tcPr>
          <w:p>
            <w:r/>
            <w:r>
              <w:rPr>
                <w:rFonts w:ascii="Times New Roman" w:hAnsi="Times New Roman"/>
                <w:b w:val="0"/>
                <w:sz w:val="24"/>
              </w:rPr>
              <w:t>sql/01_schema_oulad.sql; PK, FK, campos ordinales y FullDomain.</w:t>
            </w:r>
          </w:p>
        </w:tc>
      </w:tr>
      <w:tr>
        <w:tc>
          <w:tcPr>
            <w:tcW w:type="dxa" w:w="4680"/>
          </w:tcPr>
          <w:p>
            <w:r/>
            <w:r>
              <w:rPr>
                <w:rFonts w:ascii="Times New Roman" w:hAnsi="Times New Roman"/>
                <w:b w:val="0"/>
                <w:sz w:val="24"/>
              </w:rPr>
              <w:t>ETL orquestado</w:t>
            </w:r>
          </w:p>
        </w:tc>
        <w:tc>
          <w:tcPr>
            <w:tcW w:type="dxa" w:w="4680"/>
          </w:tcPr>
          <w:p>
            <w:r/>
            <w:r>
              <w:rPr>
                <w:rFonts w:ascii="Times New Roman" w:hAnsi="Times New Roman"/>
                <w:b w:val="0"/>
                <w:sz w:val="24"/>
              </w:rPr>
              <w:t>etl_orchestrator.py y módulos src/*.py.</w:t>
            </w:r>
          </w:p>
        </w:tc>
      </w:tr>
      <w:tr>
        <w:tc>
          <w:tcPr>
            <w:tcW w:type="dxa" w:w="4680"/>
          </w:tcPr>
          <w:p>
            <w:r/>
            <w:r>
              <w:rPr>
                <w:rFonts w:ascii="Times New Roman" w:hAnsi="Times New Roman"/>
                <w:b w:val="0"/>
                <w:sz w:val="24"/>
              </w:rPr>
              <w:t>EDA extendido</w:t>
            </w:r>
          </w:p>
        </w:tc>
        <w:tc>
          <w:tcPr>
            <w:tcW w:type="dxa" w:w="4680"/>
          </w:tcPr>
          <w:p>
            <w:r/>
            <w:r>
              <w:rPr>
                <w:rFonts w:ascii="Times New Roman" w:hAnsi="Times New Roman"/>
                <w:b w:val="0"/>
                <w:sz w:val="24"/>
              </w:rPr>
              <w:t>outputs/figures/*.png, outputs/*.csv y outputs/eda_report.txt.</w:t>
            </w:r>
          </w:p>
        </w:tc>
      </w:tr>
      <w:tr>
        <w:tc>
          <w:tcPr>
            <w:tcW w:type="dxa" w:w="4680"/>
          </w:tcPr>
          <w:p>
            <w:r/>
            <w:r>
              <w:rPr>
                <w:rFonts w:ascii="Times New Roman" w:hAnsi="Times New Roman"/>
                <w:b w:val="0"/>
                <w:sz w:val="24"/>
              </w:rPr>
              <w:t>Artículo APA</w:t>
            </w:r>
          </w:p>
        </w:tc>
        <w:tc>
          <w:tcPr>
            <w:tcW w:type="dxa" w:w="4680"/>
          </w:tcPr>
          <w:p>
            <w:r/>
            <w:r>
              <w:rPr>
                <w:rFonts w:ascii="Times New Roman" w:hAnsi="Times New Roman"/>
                <w:b w:val="0"/>
                <w:sz w:val="24"/>
              </w:rPr>
              <w:t>docs/Articulo_Cientifico_OULAD_APA7.docx.</w:t>
            </w:r>
          </w:p>
        </w:tc>
      </w:tr>
    </w:tbl>
    <w:p>
      <w:pPr>
        <w:spacing w:line="480" w:lineRule="auto" w:before="0" w:after="0"/>
      </w:pPr>
      <w:r>
        <w:rPr>
          <w:rFonts w:ascii="Times New Roman" w:hAnsi="Times New Roman"/>
          <w:b w:val="0"/>
          <w:i w:val="0"/>
          <w:sz w:val="24"/>
        </w:rPr>
        <w:t>Nota. La evidencia colaborativa requerida por la asignación debe completarse con el enlace del video o captura del encuentro del equipo antes de subir el documento a UASDVirtual.</w:t>
      </w:r>
    </w:p>
    <w:p>
      <w:r>
        <w:br w:type="page"/>
      </w:r>
    </w:p>
    <w:p>
      <w:pPr>
        <w:pStyle w:val="Heading1"/>
        <w:spacing w:line="480" w:lineRule="auto" w:before="0" w:after="0"/>
        <w:jc w:val="center"/>
      </w:pPr>
      <w:r>
        <w:rPr>
          <w:rFonts w:ascii="Times New Roman" w:hAnsi="Times New Roman"/>
          <w:b/>
          <w:sz w:val="24"/>
        </w:rPr>
        <w:t>Anexo B - Evidencia del trabajo colaborativo</w:t>
      </w:r>
    </w:p>
    <w:p>
      <w:pPr>
        <w:spacing w:line="480" w:lineRule="auto" w:before="0" w:after="0"/>
      </w:pPr>
      <w:r>
        <w:rPr>
          <w:rFonts w:ascii="Times New Roman" w:hAnsi="Times New Roman"/>
          <w:b w:val="0"/>
          <w:i w:val="0"/>
          <w:sz w:val="24"/>
        </w:rPr>
        <w:t>Enlace al video o ambiente colaborativo: ________________________________</w:t>
      </w:r>
    </w:p>
    <w:p>
      <w:pPr>
        <w:spacing w:line="480" w:lineRule="auto" w:before="0" w:after="0"/>
      </w:pPr>
      <w:r>
        <w:rPr>
          <w:rFonts w:ascii="Times New Roman" w:hAnsi="Times New Roman"/>
          <w:b w:val="0"/>
          <w:i w:val="0"/>
          <w:sz w:val="24"/>
        </w:rPr>
        <w:t>Descripción: En este espacio se coloca la evidencia del encuentro colaborativo del equipo, como exige la plataforma UASDVirtual.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