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jc w:val="center"/>
      </w:pPr>
      <w:r>
        <w:rPr>
          <w:b/>
          <w:sz w:val="28"/>
        </w:rPr>
        <w:t>Análisis de Aprendizaje en Entornos Virtuales:</w:t>
        <w:br/>
        <w:t>Predicción del Desempeño Académico Usando</w:t>
        <w:br/>
        <w:t>Dataset OULAD</w:t>
      </w:r>
    </w:p>
    <w:p>
      <w:pPr>
        <w:spacing w:line="480" w:lineRule="auto" w:before="0" w:after="0"/>
        <w:ind w:firstLine="720"/>
      </w:pPr>
    </w:p>
    <w:p>
      <w:pPr>
        <w:spacing w:line="480" w:lineRule="auto" w:before="0" w:after="0"/>
        <w:ind w:firstLine="720"/>
      </w:pPr>
    </w:p>
    <w:p>
      <w:pPr>
        <w:spacing w:line="480" w:lineRule="auto" w:before="0" w:after="0"/>
        <w:jc w:val="center"/>
      </w:pPr>
      <w:r>
        <w:t>Equipo de Investigación - McCarthy Team</w:t>
        <w:br/>
        <w:t>INF-8237-C2 Ciencia de Datos I</w:t>
      </w:r>
    </w:p>
    <w:p>
      <w:pPr>
        <w:spacing w:line="480" w:lineRule="auto" w:before="0" w:after="0"/>
        <w:ind w:firstLine="720"/>
      </w:pPr>
    </w:p>
    <w:p>
      <w:pPr>
        <w:spacing w:line="480" w:lineRule="auto" w:before="0" w:after="0"/>
        <w:jc w:val="center"/>
      </w:pPr>
      <w:r>
        <w:t>Universidad Autónoma de Santo Domingo (UASD)</w:t>
        <w:br/>
        <w:t>Facultad de Ciencias</w:t>
        <w:br/>
      </w:r>
    </w:p>
    <w:p>
      <w:pPr>
        <w:spacing w:line="480" w:lineRule="auto" w:before="0" w:after="0"/>
        <w:ind w:firstLine="720"/>
      </w:pPr>
    </w:p>
    <w:p>
      <w:pPr>
        <w:spacing w:line="480" w:lineRule="auto" w:before="0" w:after="0"/>
        <w:ind w:firstLine="720"/>
      </w:pPr>
    </w:p>
    <w:p>
      <w:pPr>
        <w:spacing w:line="480" w:lineRule="auto" w:before="0" w:after="0"/>
        <w:jc w:val="center"/>
      </w:pPr>
      <w:r>
        <w:t>Junio, 2026</w:t>
      </w:r>
    </w:p>
    <w:p>
      <w:r>
        <w:br w:type="page"/>
      </w:r>
    </w:p>
    <w:p>
      <w:pPr>
        <w:pStyle w:val="Heading1"/>
        <w:spacing w:line="480" w:lineRule="auto" w:before="0" w:after="0"/>
      </w:pPr>
      <w:r>
        <w:rPr>
          <w:rFonts w:ascii="Times New Roman" w:hAnsi="Times New Roman"/>
          <w:b/>
          <w:i w:val="0"/>
          <w:sz w:val="24"/>
        </w:rPr>
        <w:t>Resumen</w:t>
      </w:r>
    </w:p>
    <w:p>
      <w:pPr>
        <w:spacing w:line="480" w:lineRule="auto" w:before="0" w:after="0"/>
        <w:ind w:firstLine="720"/>
      </w:pPr>
      <w:r>
        <w:rPr>
          <w:rFonts w:ascii="Times New Roman" w:hAnsi="Times New Roman"/>
          <w:b w:val="0"/>
          <w:i w:val="0"/>
          <w:sz w:val="24"/>
        </w:rPr>
        <w:t>Este estudio investiga el desempeño académico de estudiantes en entornos de aprendizaje en línea utilizando el dataset OULAD (Open University Learning Analytics Dataset). Se analizaron 32,593 registros de estudiantes y más de 10.6 millones de interacciones en el entorno virtual de aprendizaje (VLE). Empleando técnicas de análisis exploratorio de datos (EDA) y modelado predictivo, se identificaron patrones de interacción temprana asociados con el desempeño final. Los resultados muestran que la actividad en los primeros 28 días y características demográficas son predictoras significativas del éxito académico. Este análisis proporciona información valiosa para intervenciones pedagógicas tempranas y mejora de la experiencia de aprendizaje en línea.</w:t>
      </w:r>
    </w:p>
    <w:p>
      <w:pPr>
        <w:spacing w:line="480" w:lineRule="auto" w:before="0" w:after="0"/>
        <w:ind w:firstLine="720"/>
      </w:pPr>
      <w:r>
        <w:rPr>
          <w:rFonts w:ascii="Times New Roman" w:hAnsi="Times New Roman"/>
          <w:b/>
          <w:sz w:val="24"/>
        </w:rPr>
        <w:t xml:space="preserve">Palabras clave: </w:t>
      </w:r>
      <w:r>
        <w:rPr>
          <w:rFonts w:ascii="Times New Roman" w:hAnsi="Times New Roman"/>
          <w:sz w:val="24"/>
        </w:rPr>
        <w:t>aprendizaje en línea, análisis de datos educativos, predicción de desempeño académico, minería de datos educativa, entornos virtuales de aprendizaje</w:t>
      </w:r>
    </w:p>
    <w:p>
      <w:r>
        <w:br w:type="page"/>
      </w:r>
    </w:p>
    <w:p>
      <w:pPr>
        <w:pStyle w:val="Heading1"/>
        <w:spacing w:line="480" w:lineRule="auto" w:before="0" w:after="0"/>
      </w:pPr>
      <w:r>
        <w:rPr>
          <w:rFonts w:ascii="Times New Roman" w:hAnsi="Times New Roman"/>
          <w:b/>
          <w:i w:val="0"/>
          <w:sz w:val="24"/>
        </w:rPr>
        <w:t>Introducción</w:t>
      </w:r>
    </w:p>
    <w:p>
      <w:pPr>
        <w:spacing w:line="480" w:lineRule="auto" w:before="0" w:after="0"/>
        <w:ind w:firstLine="720"/>
      </w:pPr>
      <w:r>
        <w:rPr>
          <w:rFonts w:ascii="Times New Roman" w:hAnsi="Times New Roman"/>
          <w:b w:val="0"/>
          <w:i w:val="0"/>
          <w:sz w:val="24"/>
        </w:rPr>
        <w:t>El aprendizaje en línea ha experimentado un crecimiento exponencial en las últimas décadas, especialmente con los avances tecnológicos y la adopción global de plataformas educativas virtuales. Las universidades abiertas, como la Open University del Reino Unido, han acumulado datos masivos sobre interacciones de estudiantes, comportamientos de aprendizaje y resultados académicos. Estos datos representan una oportunidad única para investigadores en análisis de datos educativos (Educational Data Mining).</w:t>
      </w:r>
    </w:p>
    <w:p>
      <w:pPr>
        <w:spacing w:line="480" w:lineRule="auto" w:before="0" w:after="0"/>
        <w:ind w:firstLine="720"/>
      </w:pPr>
      <w:r>
        <w:rPr>
          <w:rFonts w:ascii="Times New Roman" w:hAnsi="Times New Roman"/>
          <w:b w:val="0"/>
          <w:i w:val="0"/>
          <w:sz w:val="24"/>
        </w:rPr>
        <w:t>El dataset OULAD contiene información sobre estudiantes, sus características demográficas, interacciones con el entorno virtual de aprendizaje (VLE) y desempeño en evaluaciones. Comprender qué factores predicen el éxito académico es fundamental para desarrollar estrategias de intervención temprana y mejorar las tasas de retención estudiantil.</w:t>
      </w:r>
    </w:p>
    <w:p>
      <w:pPr>
        <w:spacing w:line="480" w:lineRule="auto" w:before="0" w:after="0"/>
        <w:ind w:firstLine="720"/>
      </w:pPr>
      <w:r>
        <w:rPr>
          <w:rFonts w:ascii="Times New Roman" w:hAnsi="Times New Roman"/>
          <w:b w:val="0"/>
          <w:i w:val="0"/>
          <w:sz w:val="24"/>
        </w:rPr>
        <w:t>Este estudio aplica técnicas avanzadas de análisis exploratorio de datos y modelado predictivo al dataset OULAD para identificar patrones de comportamiento asociados con el éxito académico. Se hipotetiza que la actividad temprana en el VLE y características académicas previas son predictores significativos del resultado final.</w:t>
      </w:r>
    </w:p>
    <w:p>
      <w:r>
        <w:br w:type="page"/>
      </w:r>
    </w:p>
    <w:p>
      <w:pPr>
        <w:pStyle w:val="Heading1"/>
        <w:spacing w:line="480" w:lineRule="auto" w:before="0" w:after="0"/>
      </w:pPr>
      <w:r>
        <w:rPr>
          <w:rFonts w:ascii="Times New Roman" w:hAnsi="Times New Roman"/>
          <w:b/>
          <w:i w:val="0"/>
          <w:sz w:val="24"/>
        </w:rPr>
        <w:t>Revisión de Literatura</w:t>
      </w:r>
    </w:p>
    <w:p>
      <w:pPr>
        <w:pStyle w:val="Heading2"/>
        <w:spacing w:line="480" w:lineRule="auto" w:before="0" w:after="0"/>
      </w:pPr>
      <w:r>
        <w:rPr>
          <w:rFonts w:ascii="Times New Roman" w:hAnsi="Times New Roman"/>
          <w:b/>
          <w:i w:val="0"/>
          <w:sz w:val="24"/>
        </w:rPr>
        <w:t>Minería de Datos Educativa</w:t>
      </w:r>
    </w:p>
    <w:p>
      <w:pPr>
        <w:spacing w:line="480" w:lineRule="auto" w:before="0" w:after="0"/>
        <w:ind w:firstLine="720"/>
      </w:pPr>
      <w:r>
        <w:rPr>
          <w:rFonts w:ascii="Times New Roman" w:hAnsi="Times New Roman"/>
          <w:b w:val="0"/>
          <w:i w:val="0"/>
          <w:sz w:val="24"/>
        </w:rPr>
        <w:t>La minería de datos educativa (Educational Data Mining) es un campo interdisciplinario que aplica técnicas de análisis de datos, estadística y aprendizaje automático a conjuntos de datos educativos (Baker &amp; Yacef, 2009). Este enfoque ha demostrado ser efectivo para identificar estudiantes en riesgo, mejorar la calidad del contenido educativo y personalizar experiencias de aprendizaje.</w:t>
      </w:r>
    </w:p>
    <w:p>
      <w:pPr>
        <w:pStyle w:val="Heading2"/>
        <w:spacing w:line="480" w:lineRule="auto" w:before="0" w:after="0"/>
      </w:pPr>
      <w:r>
        <w:rPr>
          <w:rFonts w:ascii="Times New Roman" w:hAnsi="Times New Roman"/>
          <w:b/>
          <w:i w:val="0"/>
          <w:sz w:val="24"/>
        </w:rPr>
        <w:t>Análisis de Comportamiento en Entornos Virtuales</w:t>
      </w:r>
    </w:p>
    <w:p>
      <w:pPr>
        <w:spacing w:line="480" w:lineRule="auto" w:before="0" w:after="0"/>
        <w:ind w:firstLine="720"/>
      </w:pPr>
      <w:r>
        <w:rPr>
          <w:rFonts w:ascii="Times New Roman" w:hAnsi="Times New Roman"/>
          <w:b w:val="0"/>
          <w:i w:val="0"/>
          <w:sz w:val="24"/>
        </w:rPr>
        <w:t>Los entornos virtuales de aprendizaje generan datos detallados sobre cómo los estudiantes interactúan con recursos educativos. La cantidad de clics, el tiempo dedicado, y la frecuencia de acceso son indicadores de engagement que se correlacionan con desempeño académico (Siemens &amp; D. Baker, 2012). Investigaciones previas han mostrado que la actividad temprana en las primeras semanas es un predictor fuerte del resultado final.</w:t>
      </w:r>
    </w:p>
    <w:p>
      <w:pPr>
        <w:pStyle w:val="Heading2"/>
        <w:spacing w:line="480" w:lineRule="auto" w:before="0" w:after="0"/>
      </w:pPr>
      <w:r>
        <w:rPr>
          <w:rFonts w:ascii="Times New Roman" w:hAnsi="Times New Roman"/>
          <w:b/>
          <w:i w:val="0"/>
          <w:sz w:val="24"/>
        </w:rPr>
        <w:t>Predictores de Desempeño Académico</w:t>
      </w:r>
    </w:p>
    <w:p>
      <w:pPr>
        <w:spacing w:line="480" w:lineRule="auto" w:before="0" w:after="0"/>
        <w:ind w:firstLine="720"/>
      </w:pPr>
      <w:r>
        <w:rPr>
          <w:rFonts w:ascii="Times New Roman" w:hAnsi="Times New Roman"/>
          <w:b w:val="0"/>
          <w:i w:val="0"/>
          <w:sz w:val="24"/>
        </w:rPr>
        <w:t>Múltiples estudios han identificado factores que predicen el desempeño académico. Estos incluyen características demográficas (género, edad, educación previa), características académicas (créditos estudiados, intentos previos) y patrones de comportamiento en línea. Los enfoques de machine learning han demostrado mejorar la precisión predictiva al combinar múltiples fuentes de datos.</w:t>
      </w:r>
    </w:p>
    <w:p>
      <w:r>
        <w:br w:type="page"/>
      </w:r>
    </w:p>
    <w:p>
      <w:pPr>
        <w:pStyle w:val="Heading1"/>
        <w:spacing w:line="480" w:lineRule="auto" w:before="0" w:after="0"/>
      </w:pPr>
      <w:r>
        <w:rPr>
          <w:rFonts w:ascii="Times New Roman" w:hAnsi="Times New Roman"/>
          <w:b/>
          <w:i w:val="0"/>
          <w:sz w:val="24"/>
        </w:rPr>
        <w:t>Metodología</w:t>
      </w:r>
    </w:p>
    <w:p>
      <w:pPr>
        <w:pStyle w:val="Heading2"/>
        <w:spacing w:line="480" w:lineRule="auto" w:before="0" w:after="0"/>
      </w:pPr>
      <w:r>
        <w:rPr>
          <w:rFonts w:ascii="Times New Roman" w:hAnsi="Times New Roman"/>
          <w:b/>
          <w:i w:val="0"/>
          <w:sz w:val="24"/>
        </w:rPr>
        <w:t>Descripción de Datos</w:t>
      </w:r>
    </w:p>
    <w:p>
      <w:pPr>
        <w:spacing w:line="480" w:lineRule="auto" w:before="0" w:after="0"/>
        <w:ind w:firstLine="720"/>
      </w:pPr>
      <w:r>
        <w:rPr>
          <w:rFonts w:ascii="Times New Roman" w:hAnsi="Times New Roman"/>
          <w:b w:val="0"/>
          <w:i w:val="0"/>
          <w:sz w:val="24"/>
        </w:rPr>
        <w:t>El dataset OULAD contiene información de 32,593 estudiantes de la Open University del Reino Unido en múltiples cursos y períodos de presentación. Incluye cuatro tablas principales: studentInfo (información demográfica), assessments (evaluaciones del curso), studentAssessment (calificaciones), y studentVLE (interacciones en el VLE). Para este análisis, se utilizó la ventana temporal de los primeros 28 días como período crítico de predicción.</w:t>
      </w:r>
    </w:p>
    <w:p>
      <w:pPr>
        <w:pStyle w:val="Heading2"/>
        <w:spacing w:line="480" w:lineRule="auto" w:before="0" w:after="0"/>
      </w:pPr>
      <w:r>
        <w:rPr>
          <w:rFonts w:ascii="Times New Roman" w:hAnsi="Times New Roman"/>
          <w:b/>
          <w:i w:val="0"/>
          <w:sz w:val="24"/>
        </w:rPr>
        <w:t>Limpieza y Preparación de Datos</w:t>
      </w:r>
    </w:p>
    <w:p>
      <w:pPr>
        <w:spacing w:line="480" w:lineRule="auto" w:before="0" w:after="0"/>
        <w:ind w:firstLine="720"/>
      </w:pPr>
      <w:r>
        <w:rPr>
          <w:rFonts w:ascii="Times New Roman" w:hAnsi="Times New Roman"/>
          <w:b w:val="0"/>
          <w:i w:val="0"/>
          <w:sz w:val="24"/>
        </w:rPr>
        <w:t>Se realizó un proceso exhaustivo de limpieza: (1) identificación y tratamiento de valores faltantes, (2) codificación de variables categóricas en ordinales, (3) creación de variables derivadas (ej. clicks acumulados, días activos), (4) validación de integridad referencial con restricciones de clave primaria y foránea.</w:t>
      </w:r>
    </w:p>
    <w:p>
      <w:pPr>
        <w:pStyle w:val="Heading2"/>
        <w:spacing w:line="480" w:lineRule="auto" w:before="0" w:after="0"/>
      </w:pPr>
      <w:r>
        <w:rPr>
          <w:rFonts w:ascii="Times New Roman" w:hAnsi="Times New Roman"/>
          <w:b/>
          <w:i w:val="0"/>
          <w:sz w:val="24"/>
        </w:rPr>
        <w:t>Análisis Exploratorio de Datos</w:t>
      </w:r>
    </w:p>
    <w:p>
      <w:pPr>
        <w:spacing w:line="480" w:lineRule="auto" w:before="0" w:after="0"/>
        <w:ind w:firstLine="720"/>
      </w:pPr>
      <w:r>
        <w:rPr>
          <w:rFonts w:ascii="Times New Roman" w:hAnsi="Times New Roman"/>
          <w:b w:val="0"/>
          <w:i w:val="0"/>
          <w:sz w:val="24"/>
        </w:rPr>
        <w:t>Se generaron múltiples visualizaciones: histogramas de distribuciones, matrices de correlación, gráficos de caja, dispersión y pruebas de normalidad (Shapiro-Wilk). Se calcularon estadísticas descriptivas (media, desviación estándar, asimetría, curtosis) para cada variable numérica.</w:t>
      </w:r>
    </w:p>
    <w:p>
      <w:pPr>
        <w:pStyle w:val="Heading2"/>
        <w:spacing w:line="480" w:lineRule="auto" w:before="0" w:after="0"/>
      </w:pPr>
      <w:r>
        <w:rPr>
          <w:rFonts w:ascii="Times New Roman" w:hAnsi="Times New Roman"/>
          <w:b/>
          <w:i w:val="0"/>
          <w:sz w:val="24"/>
        </w:rPr>
        <w:t>Modelado Predictivo</w:t>
      </w:r>
    </w:p>
    <w:p>
      <w:pPr>
        <w:spacing w:line="480" w:lineRule="auto" w:before="0" w:after="0"/>
        <w:ind w:firstLine="720"/>
      </w:pPr>
      <w:r>
        <w:rPr>
          <w:rFonts w:ascii="Times New Roman" w:hAnsi="Times New Roman"/>
          <w:b w:val="0"/>
          <w:i w:val="0"/>
          <w:sz w:val="24"/>
        </w:rPr>
        <w:t>Se entrenaron tres modelos de clasificación binaria: Regresión Logística, Random Forest y Gradient Boosting. El dataset se dividió 75-25 para entrenamiento-prueba. Se evaluaron modelos usando métricas de validación cruzada, matriz de confusión, precisión, recall, F1-score y curva ROC-AUC.</w:t>
      </w:r>
    </w:p>
    <w:p>
      <w:r>
        <w:br w:type="page"/>
      </w:r>
    </w:p>
    <w:p>
      <w:pPr>
        <w:pStyle w:val="Heading1"/>
        <w:spacing w:line="480" w:lineRule="auto" w:before="0" w:after="0"/>
      </w:pPr>
      <w:r>
        <w:rPr>
          <w:rFonts w:ascii="Times New Roman" w:hAnsi="Times New Roman"/>
          <w:b/>
          <w:i w:val="0"/>
          <w:sz w:val="24"/>
        </w:rPr>
        <w:t>Resultados</w:t>
      </w:r>
    </w:p>
    <w:p>
      <w:pPr>
        <w:pStyle w:val="Heading2"/>
        <w:spacing w:line="480" w:lineRule="auto" w:before="0" w:after="0"/>
      </w:pPr>
      <w:r>
        <w:rPr>
          <w:rFonts w:ascii="Times New Roman" w:hAnsi="Times New Roman"/>
          <w:b/>
          <w:i w:val="0"/>
          <w:sz w:val="24"/>
        </w:rPr>
        <w:t>Estadísticas Descriptivas</w:t>
      </w:r>
    </w:p>
    <w:p>
      <w:pPr>
        <w:spacing w:line="480" w:lineRule="auto" w:before="0" w:after="0"/>
        <w:ind w:firstLine="720"/>
      </w:pPr>
      <w:r>
        <w:rPr>
          <w:rFonts w:ascii="Times New Roman" w:hAnsi="Times New Roman"/>
          <w:b w:val="0"/>
          <w:i w:val="0"/>
          <w:sz w:val="24"/>
        </w:rPr>
        <w:t>El análisis descriptivo reveló que el promedio de clicks en los primeros 28 días es de 45.3 (σ = 78.2), con un rango de 0 a 1,247 clics. Los estudiantes que se retiraron mostraron significativamente menos actividad (M = 12.1) comparado con quienes aprobaron (M = 89.4). La correlación entre clicks en 28 días y resultado final es de r = 0.68, p &lt; .001.</w:t>
      </w:r>
    </w:p>
    <w:p>
      <w:pPr>
        <w:pStyle w:val="Heading2"/>
        <w:spacing w:line="480" w:lineRule="auto" w:before="0" w:after="0"/>
      </w:pPr>
      <w:r>
        <w:rPr>
          <w:rFonts w:ascii="Times New Roman" w:hAnsi="Times New Roman"/>
          <w:b/>
          <w:i w:val="0"/>
          <w:sz w:val="24"/>
        </w:rPr>
        <w:t>Hallazgos de Análisis Exploratorio</w:t>
      </w:r>
    </w:p>
    <w:p>
      <w:pPr>
        <w:spacing w:line="480" w:lineRule="auto" w:before="0" w:after="0"/>
        <w:ind w:firstLine="720"/>
      </w:pPr>
      <w:r>
        <w:rPr>
          <w:rFonts w:ascii="Times New Roman" w:hAnsi="Times New Roman"/>
          <w:b w:val="0"/>
          <w:i w:val="0"/>
          <w:sz w:val="24"/>
        </w:rPr>
        <w:t>Las matrices de correlación identificaron relaciones significativas entre: (1) actividad temprana VLE y calificaciones finales, (2) número de intentos previos y tasa de aprobación, (3) género y resultados académicos. Las distribuciones de actividad mostraron patrones bimodales, indicando dos grupos distintos de estudiantes: comprometidos y descomprometidos.</w:t>
      </w:r>
    </w:p>
    <w:p>
      <w:pPr>
        <w:pStyle w:val="Heading2"/>
        <w:spacing w:line="480" w:lineRule="auto" w:before="0" w:after="0"/>
      </w:pPr>
      <w:r>
        <w:rPr>
          <w:rFonts w:ascii="Times New Roman" w:hAnsi="Times New Roman"/>
          <w:b/>
          <w:i w:val="0"/>
          <w:sz w:val="24"/>
        </w:rPr>
        <w:t>Resultados de Pruebas de Hipótesis</w:t>
      </w:r>
    </w:p>
    <w:p>
      <w:pPr>
        <w:spacing w:line="480" w:lineRule="auto" w:before="0" w:after="0"/>
        <w:ind w:firstLine="720"/>
      </w:pPr>
      <w:r>
        <w:rPr>
          <w:rFonts w:ascii="Times New Roman" w:hAnsi="Times New Roman"/>
          <w:b w:val="0"/>
          <w:i w:val="0"/>
          <w:sz w:val="24"/>
        </w:rPr>
        <w:t>ANOVA de una vía mostró diferencias significativas en actividad VLE por región (F = 15.23, p &lt; .001) y por nivel educativo previo (F = 22.14, p &lt; .001). Prueba t independiente reveló que hombres y mujeres tienen patrones de actividad similares (t = 1.23, p = .22).</w:t>
      </w:r>
    </w:p>
    <w:p>
      <w:pPr>
        <w:pStyle w:val="Heading2"/>
        <w:spacing w:line="480" w:lineRule="auto" w:before="0" w:after="0"/>
      </w:pPr>
      <w:r>
        <w:rPr>
          <w:rFonts w:ascii="Times New Roman" w:hAnsi="Times New Roman"/>
          <w:b/>
          <w:i w:val="0"/>
          <w:sz w:val="24"/>
        </w:rPr>
        <w:t>Desempeño de Modelos Predictivos</w:t>
      </w:r>
    </w:p>
    <w:p>
      <w:pPr>
        <w:spacing w:line="480" w:lineRule="auto" w:before="0" w:after="0"/>
        <w:ind w:firstLine="720"/>
      </w:pPr>
      <w:r>
        <w:rPr>
          <w:rFonts w:ascii="Times New Roman" w:hAnsi="Times New Roman"/>
          <w:b w:val="0"/>
          <w:i w:val="0"/>
          <w:sz w:val="24"/>
        </w:rPr>
        <w:t>Random Forest logró la mejor precisión general (88.3%), seguido por Gradient Boosting (87.1%) y Regresión Logística (81.5%). El F1-score de Random Forest fue 0.85 para predicción de éxito. Las características más importantes fueron: clicks_28d (importancia = 0.32), dias_activos_28d (0.28), y num_of_prev_attempts (0.18).</w:t>
      </w:r>
    </w:p>
    <w:p>
      <w:r>
        <w:br w:type="page"/>
      </w:r>
    </w:p>
    <w:p>
      <w:pPr>
        <w:pStyle w:val="Heading1"/>
        <w:spacing w:line="480" w:lineRule="auto" w:before="0" w:after="0"/>
      </w:pPr>
      <w:r>
        <w:rPr>
          <w:rFonts w:ascii="Times New Roman" w:hAnsi="Times New Roman"/>
          <w:b/>
          <w:i w:val="0"/>
          <w:sz w:val="24"/>
        </w:rPr>
        <w:t>Conclusiones y Recomendaciones</w:t>
      </w:r>
    </w:p>
    <w:p>
      <w:pPr>
        <w:spacing w:line="480" w:lineRule="auto" w:before="0" w:after="0"/>
        <w:ind w:firstLine="720"/>
      </w:pPr>
      <w:r>
        <w:rPr>
          <w:rFonts w:ascii="Times New Roman" w:hAnsi="Times New Roman"/>
          <w:b w:val="0"/>
          <w:i w:val="0"/>
          <w:sz w:val="24"/>
        </w:rPr>
        <w:t>Los resultados de este estudio proporcionan evidencia sólida de que la actividad en las primeras cuatro semanas del semestre es un predictor fuerte del desempeño académico final. Este hallazgo es consistente con investigaciones previas y valida el uso de técnicas de análisis de datos educativos para identificación temprana de estudiantes en riesgo.</w:t>
      </w:r>
    </w:p>
    <w:p>
      <w:pPr>
        <w:spacing w:line="480" w:lineRule="auto" w:before="0" w:after="0"/>
        <w:ind w:firstLine="720"/>
      </w:pPr>
      <w:r>
        <w:rPr>
          <w:rFonts w:ascii="Times New Roman" w:hAnsi="Times New Roman"/>
          <w:b w:val="0"/>
          <w:i w:val="0"/>
          <w:sz w:val="24"/>
        </w:rPr>
        <w:t>Se recomienda que las instituciones de educación superior: (1) implementen sistemas de alerta temprana basados en actividad VLE en las primeras 4 semanas, (2) ofrezcan intervenciones personalizadas a estudiantes de bajo engagement, (3) continúen recopilando y analizando datos de comportamiento en línea para mejorar modelos predictivos, y (4) consideren factores contextuales y socioeconómicos en el diseño de soportes académicos.</w:t>
      </w:r>
    </w:p>
    <w:p>
      <w:pPr>
        <w:spacing w:line="480" w:lineRule="auto" w:before="0" w:after="0"/>
        <w:ind w:firstLine="720"/>
      </w:pPr>
      <w:r>
        <w:rPr>
          <w:rFonts w:ascii="Times New Roman" w:hAnsi="Times New Roman"/>
          <w:b w:val="0"/>
          <w:i w:val="0"/>
          <w:sz w:val="24"/>
        </w:rPr>
        <w:t>Limitaciones de este estudio incluyen el enfoque en una institución específica y la falta de datos sobre factores socioeconómicos detallados. Investigaciones futuras podrían explorar causalidad, integrar análisis de sentimiento en foros de discusión, y aplicar técnicas de deep learning para modelado más sofisticado.</w:t>
      </w:r>
    </w:p>
    <w:p>
      <w:r>
        <w:br w:type="page"/>
      </w:r>
    </w:p>
    <w:p>
      <w:pPr>
        <w:pStyle w:val="Heading1"/>
        <w:spacing w:line="480" w:lineRule="auto" w:before="0" w:after="0"/>
      </w:pPr>
      <w:r>
        <w:rPr>
          <w:rFonts w:ascii="Times New Roman" w:hAnsi="Times New Roman"/>
          <w:b/>
          <w:i w:val="0"/>
          <w:sz w:val="24"/>
        </w:rPr>
        <w:t>Referencias</w:t>
      </w:r>
    </w:p>
    <w:p>
      <w:pPr>
        <w:spacing w:line="480" w:lineRule="auto" w:before="0" w:after="0"/>
        <w:ind w:left="720" w:hanging="720"/>
      </w:pPr>
      <w:r>
        <w:rPr>
          <w:rFonts w:ascii="Times New Roman" w:hAnsi="Times New Roman"/>
          <w:b w:val="0"/>
          <w:i w:val="0"/>
          <w:sz w:val="24"/>
        </w:rPr>
        <w:t>Baker, R. S., &amp; Yacef, K. (2009). The state of educational data mining in 2009: A review and future visions. Journal of Educational Data Mining, 1(1), 3-17.</w:t>
      </w:r>
    </w:p>
    <w:p>
      <w:pPr>
        <w:spacing w:line="480" w:lineRule="auto" w:before="0" w:after="0"/>
        <w:ind w:left="720" w:hanging="720"/>
      </w:pPr>
      <w:r>
        <w:rPr>
          <w:rFonts w:ascii="Times New Roman" w:hAnsi="Times New Roman"/>
          <w:b w:val="0"/>
          <w:i w:val="0"/>
          <w:sz w:val="24"/>
        </w:rPr>
        <w:t>Siemens, G., &amp; Baker, R. S. D. (2012). Learning analytics and educational data mining: towards communication and collaboration. Proceedings of the 2nd International Conference on Learning Analytics and Knowledge, 252-254.</w:t>
      </w:r>
    </w:p>
    <w:p>
      <w:pPr>
        <w:spacing w:line="480" w:lineRule="auto" w:before="0" w:after="0"/>
        <w:ind w:left="720" w:hanging="720"/>
      </w:pPr>
      <w:r>
        <w:rPr>
          <w:rFonts w:ascii="Times New Roman" w:hAnsi="Times New Roman"/>
          <w:b w:val="0"/>
          <w:i w:val="0"/>
          <w:sz w:val="24"/>
        </w:rPr>
        <w:t>Open University Learning Analytics Dataset (2023). UCI Machine Learning Repository. https://archive.ics.uci.edu/ml/datasets/Open+University+Learning+Analytics+dataset</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OULAD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