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1440" w:after="0"/>
        <w:ind w:firstLine="0"/>
        <w:jc w:val="center"/>
      </w:pPr>
      <w:r>
        <w:t>Predicción temprana del desempeño estudiantil mediante aprendizaje automático: análisis de OULAD y un experimento anónimo reproducible</w:t>
      </w:r>
    </w:p>
    <w:p>
      <w:pPr>
        <w:pStyle w:val="Heading1"/>
        <w:spacing w:line="480" w:lineRule="auto" w:before="0" w:after="0"/>
        <w:ind w:firstLine="0"/>
        <w:jc w:val="center"/>
      </w:pPr>
      <w:r>
        <w:t>Presentación</w:t>
      </w:r>
    </w:p>
    <w:p>
      <w:pPr>
        <w:spacing w:line="480" w:lineRule="auto" w:before="0" w:after="0"/>
        <w:ind w:firstLine="0"/>
        <w:jc w:val="center"/>
      </w:pPr>
      <w:r>
        <w:rPr>
          <w:b/>
        </w:rPr>
        <w:t>Universidad Autónoma de Santo Domingo</w:t>
      </w:r>
    </w:p>
    <w:p>
      <w:pPr>
        <w:spacing w:line="480" w:lineRule="auto" w:before="0" w:after="0"/>
        <w:ind w:firstLine="0"/>
        <w:jc w:val="center"/>
      </w:pPr>
      <w:r>
        <w:rPr>
          <w:b/>
        </w:rPr>
        <w:t>Facultad de Ingeniería y Arquitectura</w:t>
      </w:r>
    </w:p>
    <w:p>
      <w:pPr>
        <w:spacing w:line="480" w:lineRule="auto" w:before="0" w:after="0"/>
        <w:ind w:firstLine="0"/>
        <w:jc w:val="center"/>
      </w:pPr>
      <w:r>
        <w:rPr>
          <w:b/>
        </w:rPr>
        <w:t>Asignatura:</w:t>
      </w:r>
      <w:r>
        <w:t xml:space="preserve"> INF-8237-C2 Ciencia de Datos I</w:t>
      </w:r>
    </w:p>
    <w:p>
      <w:pPr>
        <w:spacing w:line="480" w:lineRule="auto" w:before="0" w:after="0"/>
        <w:ind w:firstLine="0"/>
        <w:jc w:val="center"/>
      </w:pPr>
      <w:r>
        <w:rPr>
          <w:b/>
        </w:rPr>
        <w:t>Unidad:</w:t>
      </w:r>
      <w:r>
        <w:t xml:space="preserve"> Unidad 4: Introducción a Machine Learning</w:t>
      </w:r>
    </w:p>
    <w:p>
      <w:pPr>
        <w:spacing w:line="480" w:lineRule="auto" w:before="0" w:after="0"/>
        <w:ind w:firstLine="0"/>
        <w:jc w:val="center"/>
      </w:pPr>
      <w:r>
        <w:rPr>
          <w:b/>
        </w:rPr>
        <w:t>Equipo:</w:t>
      </w:r>
      <w:r>
        <w:t xml:space="preserve"> McCarthy Team</w:t>
      </w:r>
    </w:p>
    <w:p>
      <w:pPr>
        <w:spacing w:line="480" w:lineRule="auto" w:before="0" w:after="0"/>
        <w:ind w:firstLine="0"/>
        <w:jc w:val="center"/>
      </w:pPr>
      <w:r>
        <w:rPr>
          <w:b/>
        </w:rPr>
        <w:t>Facilitador:</w:t>
      </w:r>
      <w:r>
        <w:t xml:space="preserve"> Dr. Silverio del Orbe Abad</w:t>
      </w:r>
    </w:p>
    <w:p>
      <w:pPr>
        <w:spacing w:line="480" w:lineRule="auto" w:before="0" w:after="0"/>
        <w:ind w:firstLine="0"/>
        <w:jc w:val="center"/>
      </w:pPr>
      <w:r>
        <w:rPr>
          <w:b/>
        </w:rPr>
        <w:t>Fecha:</w:t>
      </w:r>
      <w:r>
        <w:t xml:space="preserve"> 12 de julio de 2026</w:t>
      </w:r>
    </w:p>
    <w:p>
      <w:r>
        <w:br w:type="page"/>
      </w:r>
    </w:p>
    <w:p>
      <w:pPr>
        <w:pStyle w:val="Heading1"/>
        <w:spacing w:line="480" w:lineRule="auto" w:before="0" w:after="0"/>
        <w:ind w:firstLine="0"/>
        <w:jc w:val="center"/>
      </w:pPr>
      <w:r>
        <w:t>Resumen</w:t>
      </w:r>
    </w:p>
    <w:p>
      <w:pPr>
        <w:spacing w:line="480" w:lineRule="auto" w:before="0" w:after="0"/>
        <w:ind w:firstLine="0"/>
        <w:jc w:val="left"/>
      </w:pPr>
      <w:r>
        <w:t>El objetivo de este estudio fue evaluar si variables demográficas, académicas y de interacción temprana permiten anticipar el desempeño de estudiantes en educación virtual. Se utilizó el Open University Learning Analytics Dataset (OULAD) y se incorporó un Experimento X sintético, anónimo y reproducible para demostrar un escenario complementario sin divulgar información personal. El proceso siguió OSEMN: obtención, depuración, exploración, modelado e interpretación. Se plantearon dos hipótesis: que la interacción durante los primeros 28 días difiere entre quienes aprueban y quienes no, y que las variables tempranas permiten predecir resultados finales y calificaciones. Se trataron valores faltantes mediante imputación, variables ordinales mediante mapas explícitos y variables nominales mediante codificación one-hot. Se compararon regresión logística, bosque aleatorio y gradient boosting en tareas dicotómicas y ordinales; para la variable continua se compararon Ridge, bosque aleatorio y gradient boosting. La evaluación incluyó precisión macro, exhaustividad macro, F1 macro, exactitud, ROC-AUC, error cuadrático medio y R². Además, el F1 binario se verificó manualmente desde TP, FP, TN y FN. El proyecto exporta predicciones caso a caso e importancias de variables. Los hallazgos deben interpretarse como apoyo académico y no como fundamento para decisiones automáticas sin validación institucional, análisis de equidad y supervisión humana.</w:t>
      </w:r>
    </w:p>
    <w:p>
      <w:pPr>
        <w:spacing w:line="480" w:lineRule="auto" w:before="0" w:after="0"/>
        <w:ind w:firstLine="0"/>
        <w:jc w:val="left"/>
      </w:pPr>
      <w:r>
        <w:rPr>
          <w:b/>
        </w:rPr>
        <w:t>Palabras clave:</w:t>
      </w:r>
      <w:r>
        <w:t xml:space="preserve"> analítica del aprendizaje, OULAD, predicción temprana, aprendizaje automático, rendimiento académico</w:t>
      </w:r>
    </w:p>
    <w:p>
      <w:r>
        <w:br w:type="page"/>
      </w:r>
    </w:p>
    <w:p>
      <w:pPr>
        <w:pStyle w:val="Heading1"/>
        <w:spacing w:line="480" w:lineRule="auto" w:before="0" w:after="0"/>
        <w:ind w:firstLine="0"/>
        <w:jc w:val="center"/>
      </w:pPr>
      <w:r>
        <w:t>Abstract</w:t>
      </w:r>
    </w:p>
    <w:p>
      <w:pPr>
        <w:spacing w:line="480" w:lineRule="auto" w:before="0" w:after="0"/>
        <w:ind w:firstLine="0"/>
        <w:jc w:val="left"/>
      </w:pPr>
      <w:r>
        <w:t>This study evaluated whether demographic, academic, and early-interaction variables can anticipate student performance in virtual education. The Open University Learning Analytics Dataset (OULAD) was used together with a synthetic, anonymous, and reproducible Experiment X to demonstrate a complementary scenario without disclosing personal information. The workflow followed OSEMN: obtain, scrub, explore, model, and interpret. Two hypotheses were proposed: interaction during the first 28 days differs between students who pass and those who do not, and early variables can predict final outcomes and assessment scores. Missing values were handled through imputation, ordinal variables through explicit mappings, and nominal variables through one-hot encoding. Logistic regression, random forest, and gradient boosting were compared for binary and ordinal tasks; Ridge, random forest, and gradient boosting were compared for the continuous target. Evaluation included macro precision, macro recall, macro F1, accuracy, ROC-AUC, mean squared error, and R². Binary F1 was also verified manually from TP, FP, TN, and FN. The project exports case-level predictions and feature importances. Findings must be interpreted as academic evidence rather than a basis for automated decisions without institutional validation, fairness analysis, and human oversight.</w:t>
      </w:r>
    </w:p>
    <w:p>
      <w:pPr>
        <w:spacing w:line="480" w:lineRule="auto" w:before="0" w:after="0"/>
        <w:ind w:firstLine="0"/>
        <w:jc w:val="left"/>
      </w:pPr>
      <w:r>
        <w:rPr>
          <w:b/>
        </w:rPr>
        <w:t>Keywords:</w:t>
      </w:r>
      <w:r>
        <w:t xml:space="preserve"> learning analytics, OULAD, early prediction, machine learning, academic performance</w:t>
      </w:r>
    </w:p>
    <w:p>
      <w:r>
        <w:br w:type="page"/>
      </w:r>
    </w:p>
    <w:p>
      <w:pPr>
        <w:pStyle w:val="Heading1"/>
        <w:spacing w:line="480" w:lineRule="auto" w:before="0" w:after="0"/>
        <w:ind w:firstLine="0"/>
        <w:jc w:val="center"/>
      </w:pPr>
      <w:r>
        <w:t>Tabla de contenido</w:t>
      </w:r>
    </w:p>
    <w:p>
      <w:pPr>
        <w:spacing w:line="480" w:lineRule="auto" w:before="0" w:after="0"/>
        <w:ind w:firstLine="720"/>
        <w:jc w:val="left"/>
      </w:pPr>
      <w:r>
        <w:t>1. Introducción</w:t>
      </w:r>
    </w:p>
    <w:p>
      <w:pPr>
        <w:spacing w:line="480" w:lineRule="auto" w:before="0" w:after="0"/>
        <w:ind w:firstLine="720"/>
        <w:jc w:val="left"/>
      </w:pPr>
      <w:r>
        <w:t>2. Marco de referencia</w:t>
      </w:r>
    </w:p>
    <w:p>
      <w:pPr>
        <w:spacing w:line="480" w:lineRule="auto" w:before="0" w:after="0"/>
        <w:ind w:firstLine="720"/>
        <w:jc w:val="left"/>
      </w:pPr>
      <w:r>
        <w:t>3. Metodología</w:t>
      </w:r>
    </w:p>
    <w:p>
      <w:pPr>
        <w:spacing w:line="480" w:lineRule="auto" w:before="0" w:after="0"/>
        <w:ind w:firstLine="720"/>
        <w:jc w:val="left"/>
      </w:pPr>
      <w:r>
        <w:t>4. Hallazgos</w:t>
      </w:r>
    </w:p>
    <w:p>
      <w:pPr>
        <w:spacing w:line="480" w:lineRule="auto" w:before="0" w:after="0"/>
        <w:ind w:firstLine="720"/>
        <w:jc w:val="left"/>
      </w:pPr>
      <w:r>
        <w:t>5. Discusión</w:t>
      </w:r>
    </w:p>
    <w:p>
      <w:pPr>
        <w:spacing w:line="480" w:lineRule="auto" w:before="0" w:after="0"/>
        <w:ind w:firstLine="720"/>
        <w:jc w:val="left"/>
      </w:pPr>
      <w:r>
        <w:t>6. Conclusiones</w:t>
      </w:r>
    </w:p>
    <w:p>
      <w:pPr>
        <w:spacing w:line="480" w:lineRule="auto" w:before="0" w:after="0"/>
        <w:ind w:firstLine="720"/>
        <w:jc w:val="left"/>
      </w:pPr>
      <w:r>
        <w:t>7. Referencias</w:t>
      </w:r>
    </w:p>
    <w:p>
      <w:pPr>
        <w:pStyle w:val="ListNumber"/>
        <w:spacing w:line="480" w:lineRule="auto" w:before="0" w:after="0"/>
        <w:ind w:firstLine="0"/>
        <w:jc w:val="left"/>
      </w:pPr>
      <w:r>
        <w:t>Anexos</w:t>
      </w:r>
    </w:p>
    <w:p>
      <w:r>
        <w:br w:type="page"/>
      </w:r>
    </w:p>
    <w:p>
      <w:pPr>
        <w:pStyle w:val="Heading1"/>
        <w:spacing w:line="480" w:lineRule="auto" w:before="0" w:after="0"/>
        <w:ind w:firstLine="0"/>
        <w:jc w:val="center"/>
      </w:pPr>
      <w:r>
        <w:t>Introducción</w:t>
      </w:r>
    </w:p>
    <w:p>
      <w:pPr>
        <w:spacing w:line="480" w:lineRule="auto" w:before="0" w:after="0"/>
        <w:ind w:firstLine="720"/>
        <w:jc w:val="left"/>
      </w:pPr>
      <w:r>
        <w:t>Los entornos virtuales de aprendizaje registran información sobre acceso a recursos, participación, evaluaciones y trayectorias académicas. Estos registros pueden apoyar la identificación temprana de estudiantes que necesitan acompañamiento, siempre que el análisis respete criterios de privacidad, validez y equidad. La analítica del aprendizaje no consiste únicamente en entrenar un algoritmo; exige definir una pregunta útil, comprender el momento en que cada variable está disponible y evaluar si el modelo generaliza a observaciones no vistas.</w:t>
      </w:r>
    </w:p>
    <w:p>
      <w:pPr>
        <w:spacing w:line="480" w:lineRule="auto" w:before="0" w:after="0"/>
        <w:ind w:firstLine="720"/>
        <w:jc w:val="left"/>
      </w:pPr>
      <w:r>
        <w:t>Kuzilek et al. (2017) publicaron OULAD para facilitar estudios comparables sobre aprendizaje en línea. El conjunto integra información de 32,593 estudiantes, 22 presentaciones de módulos, resultados de evaluaciones y 10,655,280 registros diarios de interacción. Los autores señalan que el conjunto “contains demographic data together with aggregated clickstream data” (Kuzilek et al., 2017, sección Abstract). Esta combinación permite estudiar tanto factores académicos como patrones de comportamiento digital.</w:t>
      </w:r>
    </w:p>
    <w:p>
      <w:pPr>
        <w:spacing w:line="480" w:lineRule="auto" w:before="0" w:after="0"/>
        <w:ind w:firstLine="720"/>
        <w:jc w:val="left"/>
      </w:pPr>
      <w:r>
        <w:t>El problema de investigación consiste en determinar si la actividad temprana, observada durante los primeros 28 días, contiene información útil para anticipar tres resultados: aprobación dicotómica, resultado final ordinal y promedio de evaluaciones. La ventana temprana se definió antes de agregar las interacciones para reducir la fuga temporal. No se utilizaron el resultado final ni el promedio de evaluaciones como predictores.</w:t>
      </w:r>
    </w:p>
    <w:p>
      <w:pPr>
        <w:spacing w:line="480" w:lineRule="auto" w:before="0" w:after="0"/>
        <w:ind w:firstLine="720"/>
        <w:jc w:val="left"/>
      </w:pPr>
      <w:r>
        <w:t>El estudio plantea dos hipótesis. H1 sostiene que la distribución de clics tempranos difiere entre estudiantes que aprueban y quienes no aprueban. H2 sostiene que la combinación de interacciones tempranas, antecedentes académicos y variables demográficas permite construir modelos con desempeño superior a una referencia sin información. El objetivo general fue desarrollar un flujo reproducible que cubriera exploración, inferencia, clasificación, predicción ordinal y regresión, además de generar salidas auditables en CSV.</w:t>
      </w:r>
    </w:p>
    <w:p>
      <w:pPr>
        <w:pStyle w:val="Heading1"/>
        <w:spacing w:line="480" w:lineRule="auto" w:before="0" w:after="0"/>
        <w:ind w:firstLine="0"/>
        <w:jc w:val="center"/>
      </w:pPr>
      <w:r>
        <w:t>Marco de referencia</w:t>
      </w:r>
    </w:p>
    <w:p>
      <w:pPr>
        <w:spacing w:line="480" w:lineRule="auto" w:before="0" w:after="0"/>
        <w:ind w:firstLine="720"/>
        <w:jc w:val="left"/>
      </w:pPr>
      <w:r>
        <w:t>La analítica del aprendizaje estudia datos generados por estudiantes y contextos educativos para comprender y optimizar el aprendizaje. OULAD resulta especialmente útil porque enlaza tablas demográficas, inscripciones, evaluaciones e interacciones VLE mediante identificadores anónimos. Según Kuzilek et al. (2017), la anonimización eliminó identificadores privados, generalizó cuasi-identificadores y aplicó criterios de k-anonimato. Por tanto, el conjunto permite experimentación académica, aunque su anonimización no elimina la obligación de usarlo responsablemente.</w:t>
      </w:r>
    </w:p>
    <w:p>
      <w:pPr>
        <w:spacing w:line="480" w:lineRule="auto" w:before="0" w:after="0"/>
        <w:ind w:firstLine="720"/>
        <w:jc w:val="left"/>
      </w:pPr>
      <w:r>
        <w:t>En aprendizaje supervisado, un modelo aprende una función a partir de ejemplos con variable objetivo conocida. La regresión logística estima probabilidades y ofrece una referencia interpretable para clasificación. El bosque aleatorio combina múltiples árboles construidos sobre muestras y subconjuntos de variables; Breiman (2001) mostró que esta estrategia puede reducir la varianza y capturar relaciones no lineales. Gradient boosting construye modelos de forma secuencial para corregir errores previos (Friedman, 2001). En regresión, Ridge controla la magnitud de coeficientes mediante regularización, mientras los métodos basados en árboles modelan interacciones no lineales.</w:t>
      </w:r>
    </w:p>
    <w:p>
      <w:pPr>
        <w:spacing w:line="480" w:lineRule="auto" w:before="0" w:after="0"/>
        <w:ind w:firstLine="720"/>
        <w:jc w:val="left"/>
      </w:pPr>
      <w:r>
        <w:t>Las métricas deben corresponder al problema. En clasificación desbalanceada, la exactitud puede ocultar errores en clases minoritarias, por lo que se complementó con precisión, exhaustividad, F1 macro y ROC-AUC. El F1 es la media armónica entre precisión y exhaustividad. En regresión se utilizaron MSE y R²: el primero penaliza errores grandes y el segundo compara la variabilidad explicada con una predicción basada en la media. Pedregosa et al. (2011) describen scikit-learn como una biblioteca que integra herramientas de preprocesamiento, selección, entrenamiento y evaluación bajo interfaces consistentes.</w:t>
      </w:r>
    </w:p>
    <w:p>
      <w:pPr>
        <w:pStyle w:val="Heading1"/>
        <w:spacing w:line="480" w:lineRule="auto" w:before="0" w:after="0"/>
        <w:ind w:firstLine="0"/>
        <w:jc w:val="center"/>
      </w:pPr>
      <w:r>
        <w:t>Metodología</w:t>
      </w:r>
    </w:p>
    <w:p>
      <w:pPr>
        <w:pStyle w:val="Heading2"/>
        <w:spacing w:line="480" w:lineRule="auto" w:before="0" w:after="0"/>
        <w:ind w:firstLine="0"/>
        <w:jc w:val="left"/>
      </w:pPr>
      <w:r>
        <w:t>Diseño y fuentes de datos</w:t>
      </w:r>
    </w:p>
    <w:p>
      <w:pPr>
        <w:spacing w:line="480" w:lineRule="auto" w:before="0" w:after="0"/>
        <w:ind w:firstLine="720"/>
        <w:jc w:val="left"/>
      </w:pPr>
      <w:r>
        <w:t xml:space="preserve">El estudio fue cuantitativo, no experimental y predictivo. La fuente principal fue OULAD, publicado bajo licencia CC BY 4.0. Se utilizaron </w:t>
      </w:r>
      <w:r>
        <w:rPr>
          <w:rFonts w:ascii="Courier New" w:hAnsi="Courier New"/>
        </w:rPr>
        <w:t>studentInfo.csv</w:t>
      </w:r>
      <w:r>
        <w:t xml:space="preserve">, </w:t>
      </w:r>
      <w:r>
        <w:rPr>
          <w:rFonts w:ascii="Courier New" w:hAnsi="Courier New"/>
        </w:rPr>
        <w:t>studentVle.csv</w:t>
      </w:r>
      <w:r>
        <w:t xml:space="preserve">, </w:t>
      </w:r>
      <w:r>
        <w:rPr>
          <w:rFonts w:ascii="Courier New" w:hAnsi="Courier New"/>
        </w:rPr>
        <w:t>assessments.csv</w:t>
      </w:r>
      <w:r>
        <w:t xml:space="preserve"> y </w:t>
      </w:r>
      <w:r>
        <w:rPr>
          <w:rFonts w:ascii="Courier New" w:hAnsi="Courier New"/>
        </w:rPr>
        <w:t>studentAssessment.csv</w:t>
      </w:r>
      <w:r>
        <w:t>. La unidad de análisis fue el registro estudiante-módulo-presentación. El Experimento X se generó con semilla fija y variables armonizadas; su función es demostrar cómo integrar una segunda fuente anónima, no representar una institución real.</w:t>
      </w:r>
    </w:p>
    <w:p>
      <w:pPr>
        <w:pStyle w:val="Heading2"/>
        <w:spacing w:line="480" w:lineRule="auto" w:before="0" w:after="0"/>
        <w:ind w:firstLine="0"/>
        <w:jc w:val="left"/>
      </w:pPr>
      <w:r>
        <w:t>Flujo OSEMN y programación</w:t>
      </w:r>
    </w:p>
    <w:p>
      <w:pPr>
        <w:spacing w:line="480" w:lineRule="auto" w:before="0" w:after="0"/>
        <w:ind w:firstLine="720"/>
        <w:jc w:val="left"/>
      </w:pPr>
      <w:r>
        <w:t xml:space="preserve">La solución se encapsuló en clases que corresponden a las etapas OSEMN. </w:t>
      </w:r>
      <w:r>
        <w:rPr>
          <w:rFonts w:ascii="Courier New" w:hAnsi="Courier New"/>
        </w:rPr>
        <w:t>OULADRepository</w:t>
      </w:r>
      <w:r>
        <w:t xml:space="preserve"> obtiene los archivos y agrega clics; </w:t>
      </w:r>
      <w:r>
        <w:rPr>
          <w:rFonts w:ascii="Courier New" w:hAnsi="Courier New"/>
        </w:rPr>
        <w:t>FeatureEngineer</w:t>
      </w:r>
      <w:r>
        <w:t xml:space="preserve"> depura y transforma; </w:t>
      </w:r>
      <w:r>
        <w:rPr>
          <w:rFonts w:ascii="Courier New" w:hAnsi="Courier New"/>
        </w:rPr>
        <w:t>EDAReporter</w:t>
      </w:r>
      <w:r>
        <w:t xml:space="preserve"> genera descriptiva y gráficos; </w:t>
      </w:r>
      <w:r>
        <w:rPr>
          <w:rFonts w:ascii="Courier New" w:hAnsi="Courier New"/>
        </w:rPr>
        <w:t>ModelLab</w:t>
      </w:r>
      <w:r>
        <w:t xml:space="preserve"> entrena y evalúa; y </w:t>
      </w:r>
      <w:r>
        <w:rPr>
          <w:rFonts w:ascii="Courier New" w:hAnsi="Courier New"/>
        </w:rPr>
        <w:t>OULADProject</w:t>
      </w:r>
      <w:r>
        <w:t xml:space="preserve"> coordina el flujo. La clase </w:t>
      </w:r>
      <w:r>
        <w:rPr>
          <w:rFonts w:ascii="Courier New" w:hAnsi="Courier New"/>
        </w:rPr>
        <w:t>ResultRegistry</w:t>
      </w:r>
      <w:r>
        <w:t>, basada en una colección de diccionario, funciona como tipo abstracto de datos para registrar resultados por tarea y algoritmo.</w:t>
      </w:r>
    </w:p>
    <w:p>
      <w:pPr>
        <w:spacing w:line="480" w:lineRule="auto" w:before="0" w:after="0"/>
        <w:ind w:firstLine="720"/>
        <w:jc w:val="left"/>
      </w:pPr>
      <w:r>
        <w:t>La descarga y todas las salidas usan rutas relativas al folder del proyecto. El archivo comprimido de OULAD permanece fuera del control de versiones. La tabla de interacciones, debido a su tamaño, se procesa en bloques de 500,000 filas. Primero se filtran fechas entre el día 0 y el día 28; después se calculan clics acumulados y días activos por estudiante.</w:t>
      </w:r>
    </w:p>
    <w:p>
      <w:pPr>
        <w:pStyle w:val="Heading2"/>
        <w:spacing w:line="480" w:lineRule="auto" w:before="0" w:after="0"/>
        <w:ind w:firstLine="0"/>
        <w:jc w:val="left"/>
      </w:pPr>
      <w:r>
        <w:t>Variables y preparación</w:t>
      </w:r>
    </w:p>
    <w:p>
      <w:pPr>
        <w:spacing w:line="480" w:lineRule="auto" w:before="0" w:after="0"/>
        <w:ind w:firstLine="720"/>
        <w:jc w:val="left"/>
      </w:pPr>
      <w:r>
        <w:t>Los predictores numéricos fueron clics en 28 días, días activos, créditos estudiados, intentos previos, educación ordinal, edad ordinal y punto medio del índice de privación. Los predictores categóricos fueron género, discapacidad y módulo. La fuente de datos se conservó para auditoría, pero no se incluyó como predictor, evitando que el modelo aprendiera a separar OULAD del experimento sintético.</w:t>
      </w:r>
    </w:p>
    <w:p>
      <w:pPr>
        <w:spacing w:line="480" w:lineRule="auto" w:before="0" w:after="0"/>
        <w:ind w:firstLine="720"/>
        <w:jc w:val="left"/>
      </w:pPr>
      <w:r>
        <w:t xml:space="preserve">Los valores faltantes numéricos se imputaron con la mediana y los categóricos con la moda. Las variables nominales se codificaron mediante one-hot. Educación, edad y resultado final se mapearon respetando su orden. La aprobación se definió como </w:t>
      </w:r>
      <w:r>
        <w:rPr>
          <w:rFonts w:ascii="Courier New" w:hAnsi="Courier New"/>
        </w:rPr>
        <w:t>Pass</w:t>
      </w:r>
      <w:r>
        <w:t xml:space="preserve"> o </w:t>
      </w:r>
      <w:r>
        <w:rPr>
          <w:rFonts w:ascii="Courier New" w:hAnsi="Courier New"/>
        </w:rPr>
        <w:t>Distinction</w:t>
      </w:r>
      <w:r>
        <w:t xml:space="preserve">; </w:t>
      </w:r>
      <w:r>
        <w:rPr>
          <w:rFonts w:ascii="Courier New" w:hAnsi="Courier New"/>
        </w:rPr>
        <w:t>Fail</w:t>
      </w:r>
      <w:r>
        <w:t xml:space="preserve"> y </w:t>
      </w:r>
      <w:r>
        <w:rPr>
          <w:rFonts w:ascii="Courier New" w:hAnsi="Courier New"/>
        </w:rPr>
        <w:t>Withdrawn</w:t>
      </w:r>
      <w:r>
        <w:t xml:space="preserve"> formaron la clase no aprobada. El resultado ordinal se codificó de 0 a 3: retiro, reprobado, aprobado y distinción.</w:t>
      </w:r>
    </w:p>
    <w:p>
      <w:pPr>
        <w:pStyle w:val="Heading2"/>
        <w:spacing w:line="480" w:lineRule="auto" w:before="0" w:after="0"/>
        <w:ind w:firstLine="0"/>
        <w:jc w:val="left"/>
      </w:pPr>
      <w:r>
        <w:t>Análisis exploratorio e hipótesis</w:t>
      </w:r>
    </w:p>
    <w:p>
      <w:pPr>
        <w:spacing w:line="480" w:lineRule="auto" w:before="0" w:after="0"/>
        <w:ind w:firstLine="720"/>
        <w:jc w:val="left"/>
      </w:pPr>
      <w:r>
        <w:t>El EDA incluyó medidas de tendencia y dispersión, asimetría, curtosis, auditoría de faltantes, histogramas, box plots, diagrama de dispersión y matriz de correlación de Spearman. H1 se evaluó mediante Mann-Whitney U porque el conteo de clics es discreto, asimétrico y suele contener valores extremos. Se informó el valor p y una medida de tamaño del efecto basada en rangos. Un resultado significativo no se interpretó como causalidad.</w:t>
      </w:r>
    </w:p>
    <w:p>
      <w:pPr>
        <w:pStyle w:val="Heading2"/>
        <w:spacing w:line="480" w:lineRule="auto" w:before="0" w:after="0"/>
        <w:ind w:firstLine="0"/>
        <w:jc w:val="left"/>
      </w:pPr>
      <w:r>
        <w:t>Modelado y evaluación</w:t>
      </w:r>
    </w:p>
    <w:p>
      <w:pPr>
        <w:spacing w:line="480" w:lineRule="auto" w:before="0" w:after="0"/>
        <w:ind w:firstLine="720"/>
        <w:jc w:val="left"/>
      </w:pPr>
      <w:r>
        <w:t xml:space="preserve">Los datos se dividieron en 75 % entrenamiento y 25 % prueba con semilla fija; las tareas de clasificación conservaron proporciones mediante estratificación. Todo preprocesamiento se ajustó dentro de un </w:t>
      </w:r>
      <w:r>
        <w:rPr>
          <w:rFonts w:ascii="Courier New" w:hAnsi="Courier New"/>
        </w:rPr>
        <w:t>Pipeline</w:t>
      </w:r>
      <w:r>
        <w:t xml:space="preserve"> usando solo entrenamiento. Para las variables dicotómica y ordinal se compararon regresión logística, bosque aleatorio y gradient boosting. Para el promedio de evaluaciones se compararon Ridge, bosque aleatorio y gradient boosting.</w:t>
      </w:r>
    </w:p>
    <w:p>
      <w:pPr>
        <w:spacing w:line="480" w:lineRule="auto" w:before="0" w:after="0"/>
        <w:ind w:firstLine="720"/>
        <w:jc w:val="left"/>
      </w:pPr>
      <w:r>
        <w:t>Las métricas binarias y ordinales fueron precisión macro, exhaustividad macro, F1 macro y exactitud. ROC-AUC se calculó para la tarea binaria. La variable ordinal también se evaluó con MSE y R² sobre códigos ordenados. La regresión continua se evaluó con MSE y R². En el caso binario se calcularon TP, FP, TN y FN y se reconstruyeron manualmente precisión, exhaustividad, F1 y exactitud. Finalmente, la importancia por permutación cuantificó cuánto disminuye el desempeño al alterar cada predictor.</w:t>
      </w:r>
    </w:p>
    <w:p>
      <w:pPr>
        <w:pStyle w:val="Heading1"/>
        <w:spacing w:line="480" w:lineRule="auto" w:before="0" w:after="0"/>
        <w:ind w:firstLine="0"/>
        <w:jc w:val="center"/>
      </w:pPr>
      <w:r>
        <w:t>Hallazgos</w:t>
      </w:r>
    </w:p>
    <w:p>
      <w:pPr>
        <w:spacing w:line="480" w:lineRule="auto" w:before="0" w:after="0"/>
        <w:ind w:firstLine="720"/>
        <w:jc w:val="left"/>
      </w:pPr>
      <w:r>
        <w:t>La ejecución completa integró 35,093 observaciones de OULAD y Experimento X. Para H1, la prueba de Mann-Whitney encontró una diferencia estadísticamente significativa entre los clics tempranos de quienes aprobaron y quienes no aprobaron, U = 223,548,383, p &lt; .001, con un efecto biserial por rangos de aproximadamente .455. El grupo que aprobó registró una media de 328.66 clics durante los primeros 28 días, frente a 148.31 en el grupo que no aprobó. Se rechazó H0, pero la asociación no demuestra que aumentar clics por sí solo cause aprobación.</w:t>
      </w:r>
    </w:p>
    <w:p>
      <w:pPr>
        <w:spacing w:line="480" w:lineRule="auto" w:before="0" w:after="0"/>
        <w:ind w:firstLine="720"/>
        <w:jc w:val="left"/>
      </w:pPr>
      <w:r>
        <w:t>En la tarea dicotómica, gradient boosting obtuvo el mejor F1 macro (.719), exactitud (.719) y ROC-AUC (.798). El bosque aleatorio logró F1 macro de .714 y ROC-AUC de .788, mientras que la regresión logística alcanzó F1 macro de .706 y ROC-AUC de .784. La proximidad entre resultados indica que el patrón temprano contiene señal estable, aunque el método no lineal produjo una ventaja moderada.</w:t>
      </w:r>
    </w:p>
    <w:p>
      <w:pPr>
        <w:spacing w:line="480" w:lineRule="auto" w:before="0" w:after="0"/>
        <w:ind w:firstLine="720"/>
        <w:jc w:val="left"/>
      </w:pPr>
      <w:r>
        <w:t>La clasificación ordinal fue más difícil. El bosque aleatorio obtuvo el mayor F1 macro (.438), pero gradient boosting alcanzó mayor exactitud (.539), menor MSE ordinal (.902) y el único R² ordinal positivo (.062). Esta diferencia muestra por qué no conviene seleccionar un modelo con una sola métrica: F1 favorece equilibrio entre clases, mientras el MSE ordinal penaliza cuánto se aleja la categoría predicha de la verdadera.</w:t>
      </w:r>
    </w:p>
    <w:p>
      <w:pPr>
        <w:spacing w:line="480" w:lineRule="auto" w:before="0" w:after="0"/>
        <w:ind w:firstLine="720"/>
        <w:jc w:val="left"/>
      </w:pPr>
      <w:r>
        <w:t xml:space="preserve">Para el promedio de evaluaciones, gradient boosting fue el mejor modelo con MSE = 213.491 y R² = .222. Ridge obtuvo MSE = 216.070 y R² = .213; el bosque aleatorio obtuvo MSE = 226.284 y R² = .176. El poder explicativo es limitado, por lo que el modelo no sustituye la evaluación académica. Los CSV caso a caso permiten revisar cada error y </w:t>
      </w:r>
      <w:r>
        <w:rPr>
          <w:rFonts w:ascii="Courier New" w:hAnsi="Courier New"/>
        </w:rPr>
        <w:t>f1_manual.csv</w:t>
      </w:r>
      <w:r>
        <w:t xml:space="preserve"> confirma el cálculo desde TP, FP, TN y FN.</w:t>
      </w:r>
    </w:p>
    <w:p>
      <w:pPr>
        <w:spacing w:line="480" w:lineRule="auto" w:before="0" w:after="0"/>
        <w:ind w:firstLine="720"/>
        <w:jc w:val="left"/>
      </w:pPr>
      <w:r>
        <w:t>Las importancias por permutación identifican las variables que más contribuyen al desempeño predictivo del mejor clasificador. Estas importancias deben interpretarse como contribución a la predicción en esta muestra, no como efectos causales ni como justificación para intervenir sobre atributos demográficos.</w:t>
      </w:r>
    </w:p>
    <w:p>
      <w:pPr>
        <w:pStyle w:val="Heading1"/>
        <w:spacing w:line="480" w:lineRule="auto" w:before="0" w:after="0"/>
        <w:ind w:firstLine="0"/>
        <w:jc w:val="center"/>
      </w:pPr>
      <w:r>
        <w:t>Discusión</w:t>
      </w:r>
    </w:p>
    <w:p>
      <w:pPr>
        <w:spacing w:line="480" w:lineRule="auto" w:before="0" w:after="0"/>
        <w:ind w:firstLine="720"/>
        <w:jc w:val="left"/>
      </w:pPr>
      <w:r>
        <w:t>El proyecto responde a la consigna mediante un diseño que diferencia claramente los tipos de objetivo. La variable dicotómica es apropiada para alertas simples; la ordinal preserva la jerarquía entre retiro, reprobación, aprobación y distinción; la continua permite estimar el promedio de evaluaciones. Esta separación evita aplicar una única métrica o un solo algoritmo a problemas conceptualmente distintos.</w:t>
      </w:r>
    </w:p>
    <w:p>
      <w:pPr>
        <w:spacing w:line="480" w:lineRule="auto" w:before="0" w:after="0"/>
        <w:ind w:firstLine="720"/>
        <w:jc w:val="left"/>
      </w:pPr>
      <w:r>
        <w:t xml:space="preserve">La ventana de 28 días fortalece la utilidad práctica porque una predicción temprana puede apoyar intervenciones durante el curso. Sin embargo, todavía existen riesgos de fuga si una variable agregada contiene información generada después del momento de decisión. Por eso el promedio total de evaluaciones se utiliza únicamente como objetivo de regresión. Asimismo, </w:t>
      </w:r>
      <w:r>
        <w:rPr>
          <w:rFonts w:ascii="Courier New" w:hAnsi="Courier New"/>
        </w:rPr>
        <w:t>final_result</w:t>
      </w:r>
      <w:r>
        <w:t xml:space="preserve"> solo se utiliza para construir objetivos y nunca como predictor.</w:t>
      </w:r>
    </w:p>
    <w:p>
      <w:pPr>
        <w:spacing w:line="480" w:lineRule="auto" w:before="0" w:after="0"/>
        <w:ind w:firstLine="720"/>
        <w:jc w:val="left"/>
      </w:pPr>
      <w:r>
        <w:t>Las variables demográficas requieren cautela. Aunque pueden aumentar desempeño, también pueden reproducir desigualdades históricas. Un modelo educativo debe auditar métricas por subgrupos, calibración, estabilidad temporal y costo de falsos negativos. La finalidad razonable es orientar apoyo humano, no sancionar ni excluir estudiantes. La supervisión institucional debe incluir políticas de acceso, explicación, corrección y retiro de datos.</w:t>
      </w:r>
    </w:p>
    <w:p>
      <w:pPr>
        <w:spacing w:line="480" w:lineRule="auto" w:before="0" w:after="0"/>
        <w:ind w:firstLine="720"/>
        <w:jc w:val="left"/>
      </w:pPr>
      <w:r>
        <w:t>Entre las limitaciones se encuentran la antigüedad de OULAD, las diferencias entre módulos, la naturaleza observacional y la simplificación del Experimento X. La mezcla de fuentes se usa con propósito didáctico y no demuestra transportabilidad entre países o instituciones. Una extensión recomendable consiste en entrenar por presentación temporal, validar en una presentación posterior y comparar desempeño por módulo.</w:t>
      </w:r>
    </w:p>
    <w:p>
      <w:pPr>
        <w:pStyle w:val="Heading1"/>
        <w:spacing w:line="480" w:lineRule="auto" w:before="0" w:after="0"/>
        <w:ind w:firstLine="0"/>
        <w:jc w:val="center"/>
      </w:pPr>
      <w:r>
        <w:t>Conclusiones</w:t>
      </w:r>
    </w:p>
    <w:p>
      <w:pPr>
        <w:spacing w:line="480" w:lineRule="auto" w:before="0" w:after="0"/>
        <w:ind w:firstLine="720"/>
        <w:jc w:val="left"/>
      </w:pPr>
      <w:r>
        <w:t>Se desarrolló un proyecto reproducible de aprendizaje automático que integra OULAD con un experimento sintético anónimo, aplica OSEMN y cumple tres tareas predictivas. La arquitectura POO separa obtención, transformación, exploración, modelado e interpretación. El proyecto documenta faltantes, ordinalidad, fuga temporal, métricas y trazabilidad de predicciones.</w:t>
      </w:r>
    </w:p>
    <w:p>
      <w:pPr>
        <w:spacing w:line="480" w:lineRule="auto" w:before="0" w:after="0"/>
        <w:ind w:firstLine="720"/>
        <w:jc w:val="left"/>
      </w:pPr>
      <w:r>
        <w:t>La primera hipótesis se decide mediante Mann-Whitney U y tamaño del efecto; la segunda se examina comparando nueve combinaciones de tarea y algoritmo sobre un conjunto de prueba. La elección final no debe depender de una sola métrica: en alertas tempranas importan tanto F1 y exhaustividad como ROC-AUC, estabilidad y costo de error. En regresión deben considerarse MSE y R² conjuntamente.</w:t>
      </w:r>
    </w:p>
    <w:p>
      <w:pPr>
        <w:spacing w:line="480" w:lineRule="auto" w:before="0" w:after="0"/>
        <w:ind w:firstLine="720"/>
        <w:jc w:val="left"/>
      </w:pPr>
      <w:r>
        <w:t>El aporte principal no es declarar un algoritmo universalmente superior, sino ofrecer un procedimiento auditable que permite reproducir hallazgos, revisar errores caso a caso e identificar variables influyentes. Antes de un uso real se requiere validación externa, análisis de equidad y supervisión humana.</w:t>
      </w:r>
    </w:p>
    <w:p>
      <w:pPr>
        <w:pStyle w:val="Heading1"/>
        <w:spacing w:line="480" w:lineRule="auto" w:before="0" w:after="0"/>
        <w:ind w:firstLine="0"/>
        <w:jc w:val="center"/>
      </w:pPr>
      <w:r>
        <w:t>Referencias</w:t>
      </w:r>
    </w:p>
    <w:p>
      <w:pPr>
        <w:spacing w:line="480" w:lineRule="auto" w:before="0" w:after="0"/>
        <w:ind w:left="720" w:hanging="720"/>
        <w:jc w:val="left"/>
      </w:pPr>
      <w:r>
        <w:t xml:space="preserve">Breiman, L. (2001). Random forests. </w:t>
      </w:r>
      <w:r>
        <w:rPr>
          <w:i/>
        </w:rPr>
        <w:t>Machine Learning, 45</w:t>
      </w:r>
      <w:r>
        <w:t>, 5-32. https://doi.org/10.1023/A:1010933404324</w:t>
      </w:r>
    </w:p>
    <w:p>
      <w:pPr>
        <w:spacing w:line="480" w:lineRule="auto" w:before="0" w:after="0"/>
        <w:ind w:left="720" w:hanging="720"/>
        <w:jc w:val="left"/>
      </w:pPr>
      <w:r>
        <w:t xml:space="preserve">Friedman, J. H. (2001). Greedy function approximation: A gradient boosting machine. </w:t>
      </w:r>
      <w:r>
        <w:rPr>
          <w:i/>
        </w:rPr>
        <w:t>The Annals of Statistics, 29</w:t>
      </w:r>
      <w:r>
        <w:t>(5), 1189-1232. https://doi.org/10.1214/aos/1013203451</w:t>
      </w:r>
    </w:p>
    <w:p>
      <w:pPr>
        <w:spacing w:line="480" w:lineRule="auto" w:before="0" w:after="0"/>
        <w:ind w:left="720" w:hanging="720"/>
        <w:jc w:val="left"/>
      </w:pPr>
      <w:r>
        <w:t xml:space="preserve">James, G., Witten, D., Hastie, T. y Tibshirani, R. (2021). </w:t>
      </w:r>
      <w:r>
        <w:rPr>
          <w:i/>
        </w:rPr>
        <w:t>An introduction to statistical learning: With applications in R</w:t>
      </w:r>
      <w:r>
        <w:t xml:space="preserve"> (2.ª ed.). Springer. https://doi.org/10.1007/978-1-0716-1418-1</w:t>
      </w:r>
    </w:p>
    <w:p>
      <w:pPr>
        <w:spacing w:line="480" w:lineRule="auto" w:before="0" w:after="0"/>
        <w:ind w:left="720" w:hanging="720"/>
        <w:jc w:val="left"/>
      </w:pPr>
      <w:r>
        <w:t xml:space="preserve">Kuzilek, J., Hlosta, M. y Zdrahal, Z. (2017). Open University Learning Analytics dataset. </w:t>
      </w:r>
      <w:r>
        <w:rPr>
          <w:i/>
        </w:rPr>
        <w:t>Scientific Data, 4</w:t>
      </w:r>
      <w:r>
        <w:t>, 170171. https://doi.org/10.1038/sdata.2017.171</w:t>
      </w:r>
    </w:p>
    <w:p>
      <w:pPr>
        <w:spacing w:line="480" w:lineRule="auto" w:before="0" w:after="0"/>
        <w:ind w:left="720" w:hanging="720"/>
        <w:jc w:val="left"/>
      </w:pPr>
      <w:r>
        <w:t xml:space="preserve">Pedregosa, F., Varoquaux, G., Gramfort, A., Michel, V., Thirion, B., Grisel, O., Blondel, M., Prettenhofer, P., Weiss, R., Dubourg, V., Vanderplas, J., Passos, A., Cournapeau, D., Brucher, M., Perrot, M. y Duchesnay, É. (2011). Scikit-learn: Machine learning in Python. </w:t>
      </w:r>
      <w:r>
        <w:rPr>
          <w:i/>
        </w:rPr>
        <w:t>Journal of Machine Learning Research, 12</w:t>
      </w:r>
      <w:r>
        <w:t>, 2825-2830.</w:t>
      </w:r>
    </w:p>
    <w:p>
      <w:pPr>
        <w:pStyle w:val="Heading1"/>
        <w:spacing w:line="480" w:lineRule="auto" w:before="0" w:after="0"/>
        <w:ind w:firstLine="0"/>
        <w:jc w:val="center"/>
      </w:pPr>
      <w:r>
        <w:t>Anexos</w:t>
      </w:r>
    </w:p>
    <w:p>
      <w:pPr>
        <w:pStyle w:val="Heading2"/>
        <w:spacing w:line="480" w:lineRule="auto" w:before="0" w:after="0"/>
        <w:ind w:firstLine="0"/>
        <w:jc w:val="left"/>
      </w:pPr>
      <w:r>
        <w:t>Anexo A. Estructura del proyecto</w:t>
      </w:r>
    </w:p>
    <w:p>
      <w:pPr>
        <w:spacing w:line="480" w:lineRule="auto" w:before="0" w:after="0"/>
        <w:ind w:firstLine="720"/>
        <w:jc w:val="left"/>
      </w:pPr>
      <w:r>
        <w:t xml:space="preserve">Se incluyen el cuaderno Colab, el paquete </w:t>
      </w:r>
      <w:r>
        <w:rPr>
          <w:rFonts w:ascii="Courier New" w:hAnsi="Courier New"/>
        </w:rPr>
        <w:t>src</w:t>
      </w:r>
      <w:r>
        <w:t>, pruebas, documentación y salidas CSV. Las rutas son relativas y el archivo OULAD se descarga desde UCI.</w:t>
      </w:r>
    </w:p>
    <w:p>
      <w:pPr>
        <w:spacing w:line="480" w:lineRule="auto" w:before="0" w:after="0"/>
        <w:ind w:firstLine="720"/>
        <w:jc w:val="left"/>
      </w:pPr>
      <w:r>
        <w:t>El código, la documentación y las evidencias se encuentran en: https://github.com/marlenis-concepcion/CienciaDatosUasd2026/tree/main/Unidad_4/Practica_04_Proyecto_Final_OULAD</w:t>
      </w:r>
    </w:p>
    <w:p>
      <w:pPr>
        <w:spacing w:line="480" w:lineRule="auto" w:before="0" w:after="0"/>
        <w:ind w:firstLine="720"/>
        <w:jc w:val="left"/>
      </w:pPr>
      <w:r>
        <w:t>El cuaderno puede abrirse directamente en Google Colab: https://colab.research.google.com/github/marlenis-concepcion/CienciaDatosUasd2026/blob/main/Unidad_4/Practica_04_Proyecto_Final_OULAD/notebooks/Proyecto_Final_OULAD_Colab.ipynb</w:t>
      </w:r>
    </w:p>
    <w:p>
      <w:pPr>
        <w:pStyle w:val="Heading2"/>
        <w:spacing w:line="480" w:lineRule="auto" w:before="0" w:after="0"/>
        <w:ind w:firstLine="0"/>
        <w:jc w:val="left"/>
      </w:pPr>
      <w:r>
        <w:t>Anexo B. Salidas reproducibles</w:t>
      </w:r>
    </w:p>
    <w:p>
      <w:pPr>
        <w:spacing w:line="480" w:lineRule="auto" w:before="0" w:after="0"/>
        <w:ind w:firstLine="720"/>
        <w:jc w:val="left"/>
      </w:pPr>
      <w:r>
        <w:t>Las figuras incluyen EDA, box plot, dispersión, correlación y matrices de confusión. Los CSV incluyen métricas generales, predicciones caso a caso, F1 manual e importancias.</w:t>
      </w:r>
    </w:p>
    <w:p>
      <w:pPr>
        <w:pStyle w:val="Heading2"/>
        <w:spacing w:line="480" w:lineRule="auto" w:before="0" w:after="0"/>
        <w:ind w:firstLine="0"/>
        <w:jc w:val="left"/>
      </w:pPr>
      <w:r>
        <w:t>Anexo C. División del trabajo colaborativo</w:t>
      </w:r>
    </w:p>
    <w:p>
      <w:pPr>
        <w:spacing w:line="480" w:lineRule="auto" w:before="0" w:after="0"/>
        <w:ind w:firstLine="720"/>
        <w:jc w:val="left"/>
      </w:pPr>
      <w:r>
        <w:t>El equipo debe completar la tabla del README con nombres, matrículas, responsabilidad, evidencia revisada y fecha. La integración final debe ser revisada por todos los integrantes.</w:t>
      </w:r>
    </w:p>
    <w:p>
      <w:pPr>
        <w:pStyle w:val="Heading2"/>
        <w:spacing w:line="480" w:lineRule="auto" w:before="0" w:after="0"/>
        <w:ind w:firstLine="0"/>
        <w:jc w:val="left"/>
      </w:pPr>
      <w:r>
        <w:t>Anexo D. Declaración sobre Experimento X e IA</w:t>
      </w:r>
    </w:p>
    <w:p>
      <w:pPr>
        <w:spacing w:line="480" w:lineRule="auto" w:before="0" w:after="0"/>
        <w:ind w:firstLine="720"/>
        <w:jc w:val="left"/>
      </w:pPr>
      <w:r>
        <w:t>Experimento X es sintético y no representa personas ni una institución real. Se utilizaron herramientas de inteligencia artificial como apoyo para estructuración, programación y revisión; el equipo es responsable de ejecutar, verificar, interpretar y aprobar la entrega.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outlineLvl w:val="2"/>
    </w:pPr>
    <w:rPr>
      <w:rFonts w:asciiTheme="majorHAnsi" w:eastAsiaTheme="majorEastAsia" w:hAnsiTheme="majorHAnsi" w:cstheme="majorBidi" w:ascii="Times New Roman" w:hAnsi="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ind w:firstLine="0"/>
      <w:contextualSpacing/>
      <w:jc w:val="center"/>
    </w:pPr>
    <w:rPr>
      <w:rFonts w:asciiTheme="majorHAnsi" w:eastAsiaTheme="majorEastAsia" w:hAnsiTheme="majorHAnsi" w:cstheme="majorBidi" w:ascii="Times New Roman" w:hAnsi="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