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rFonts w:ascii="Arial" w:cs="Arial" w:eastAsia="Arial" w:hAnsi="Arial"/>
          <w:b/>
          <w:bCs/>
          <w:color w:val="1B3A5C"/>
          <w:sz w:val="72"/>
          <w:szCs w:val="72"/>
        </w:rPr>
        <w:t xml:space="preserve">PREPP.AI</w:t>
      </w:r>
    </w:p>
    <w:p>
      <w:pPr>
        <w:spacing w:after="200"/>
      </w:pPr>
    </w:p>
    <w:p>
      <w:pPr>
        <w:jc w:val="center"/>
      </w:pPr>
      <w:r>
        <w:rPr>
          <w:rFonts w:ascii="Arial" w:cs="Arial" w:eastAsia="Arial" w:hAnsi="Arial"/>
          <w:i/>
          <w:iCs/>
          <w:color w:val="2A9D8F"/>
          <w:sz w:val="32"/>
          <w:szCs w:val="32"/>
        </w:rPr>
        <w:t xml:space="preserve">Lærerens trygge havn i en travel hverdag</w:t>
      </w:r>
    </w:p>
    <w:p>
      <w:pPr>
        <w:spacing w:after="400"/>
      </w:pPr>
    </w:p>
    <w:p>
      <w:pPr>
        <w:pBdr>
          <w:bottom w:val="single" w:color="2A9D8F" w:sz="6" w:space="1"/>
        </w:pBdr>
        <w:jc w:val="center"/>
      </w:pPr>
    </w:p>
    <w:p>
      <w:pPr>
        <w:spacing w:after="400"/>
      </w:pPr>
    </w:p>
    <w:p>
      <w:pPr>
        <w:jc w:val="center"/>
      </w:pPr>
      <w:r>
        <w:rPr>
          <w:rFonts w:ascii="Arial" w:cs="Arial" w:eastAsia="Arial" w:hAnsi="Arial"/>
          <w:color w:val="1B3A5C"/>
          <w:sz w:val="28"/>
          <w:szCs w:val="28"/>
        </w:rPr>
        <w:t xml:space="preserve">Produkt- og teknisk spesifikasjon</w:t>
      </w:r>
    </w:p>
    <w:p>
      <w:pPr>
        <w:spacing w:after="100"/>
      </w:pPr>
    </w:p>
    <w:p>
      <w:pPr>
        <w:jc w:val="center"/>
      </w:pPr>
      <w:r>
        <w:rPr>
          <w:rFonts w:ascii="Arial" w:cs="Arial" w:eastAsia="Arial" w:hAnsi="Arial"/>
          <w:color w:val="6B7280"/>
          <w:sz w:val="22"/>
          <w:szCs w:val="22"/>
        </w:rPr>
        <w:t xml:space="preserve">Versjon 1.0 — Februar 2026</w:t>
      </w:r>
    </w:p>
    <w:p>
      <w:pPr>
        <w:spacing w:after="100"/>
      </w:pPr>
    </w:p>
    <w:p>
      <w:pPr>
        <w:jc w:val="center"/>
      </w:pPr>
      <w:r>
        <w:rPr>
          <w:rFonts w:ascii="Arial" w:cs="Arial" w:eastAsia="Arial" w:hAnsi="Arial"/>
          <w:b/>
          <w:bCs/>
          <w:color w:val="2A9D8F"/>
          <w:sz w:val="20"/>
          <w:szCs w:val="20"/>
        </w:rPr>
        <w:t xml:space="preserve">KONFIDENSIELT</w:t>
      </w:r>
    </w:p>
    <w:p>
      <w:pPr>
        <w:sectPr>
          <w:pgSz w:w="11906" w:h="16838" w:orient="portrait"/>
          <w:pgMar w:top="1440" w:right="1440" w:bottom="1440" w:left="1440" w:header="708" w:footer="708" w:gutter="0"/>
          <w:pgNumType/>
          <w:docGrid w:linePitch="360"/>
        </w:sectPr>
      </w:pPr>
    </w:p>
    <w:p>
      <w:pPr>
        <w:pStyle w:val="Heading1"/>
        <w:spacing w:before="360" w:after="200"/>
      </w:pPr>
      <w:r>
        <w:t xml:space="preserve">1. Sammendrag</w:t>
      </w:r>
    </w:p>
    <w:p>
      <w:pPr>
        <w:spacing w:after="120" w:line="276"/>
      </w:pPr>
      <w:r>
        <w:rPr>
          <w:rFonts w:ascii="Arial" w:cs="Arial" w:eastAsia="Arial" w:hAnsi="Arial"/>
          <w:color w:val="1A1A2E"/>
          <w:sz w:val="22"/>
          <w:szCs w:val="22"/>
        </w:rPr>
        <w:t xml:space="preserve">Prepp.ai er en SaaS-plattform som gir lærere i norsk skole en kvalitetssikret, kildebelagt fagbriefing på sekunder. Plattformen er bygget spesifikt for norsk læreplan (LK20) og bruker en pipeline av spesialiserte AI-agenter kombinert med Retrieval-Augmented Generation (RAG) mot verifiserte norske kilder.</w:t>
      </w:r>
    </w:p>
    <w:p>
      <w:pPr>
        <w:spacing w:after="120" w:line="276"/>
      </w:pPr>
      <w:r>
        <w:rPr>
          <w:rFonts w:ascii="Arial" w:cs="Arial" w:eastAsia="Arial" w:hAnsi="Arial"/>
          <w:color w:val="1A1A2E"/>
          <w:sz w:val="22"/>
          <w:szCs w:val="22"/>
        </w:rPr>
        <w:t xml:space="preserve">Kjerneverdien er enkel: En lærer som skal undervise i et tema utenfor sin fordypning, skriver inn fag, trinn og tema — og får tilbake en strukturert rapport med faglig dybde, læreplankobling, pedagogiske tips og forventede elevspørsmål. Ingen chat, ingen hallusinasjoner, bare leveranse.</w:t>
      </w:r>
    </w:p>
    <w:p>
      <w:pPr>
        <w:pStyle w:val="Heading1"/>
        <w:spacing w:before="360" w:after="200"/>
      </w:pPr>
      <w:r>
        <w:t xml:space="preserve">2. Problemanalyse</w:t>
      </w:r>
    </w:p>
    <w:p>
      <w:pPr>
        <w:pStyle w:val="Heading2"/>
        <w:spacing w:before="280" w:after="160"/>
      </w:pPr>
      <w:r>
        <w:t xml:space="preserve">2.1 Kontekst</w:t>
      </w:r>
    </w:p>
    <w:p>
      <w:pPr>
        <w:spacing w:after="120" w:line="276"/>
      </w:pPr>
      <w:r>
        <w:rPr>
          <w:rFonts w:ascii="Arial" w:cs="Arial" w:eastAsia="Arial" w:hAnsi="Arial"/>
          <w:color w:val="1A1A2E"/>
          <w:sz w:val="22"/>
          <w:szCs w:val="22"/>
        </w:rPr>
        <w:t xml:space="preserve">Norske lærere, særlig i grunnskolen og VGS, underviser jevnlig i fag eller emner de ikke har fordypning i. Ifølge SSBs lærerstatistikk mangler en betydelig andel lærere formell kompetanse i fagene de underviser. Samtidig krever LK20 at undervisningen kobles eksplisitt til kompetansemål og tverrfaglige temaer.</w:t>
      </w:r>
    </w:p>
    <w:p>
      <w:pPr>
        <w:pStyle w:val="Heading2"/>
        <w:spacing w:before="280" w:after="160"/>
      </w:pPr>
      <w:r>
        <w:t xml:space="preserve">2.2 Kjerneproblemet</w:t>
      </w:r>
    </w:p>
    <w:p>
      <w:pPr>
        <w:spacing w:after="120" w:line="276"/>
      </w:pPr>
      <w:r>
        <w:rPr>
          <w:rFonts w:ascii="Arial" w:cs="Arial" w:eastAsia="Arial" w:hAnsi="Arial"/>
          <w:b/>
          <w:bCs/>
          <w:color w:val="1A1A2E"/>
          <w:sz w:val="22"/>
          <w:szCs w:val="22"/>
        </w:rPr>
        <w:t xml:space="preserve">Tidsklemma: </w:t>
      </w:r>
      <w:r>
        <w:rPr>
          <w:rFonts w:ascii="Arial" w:cs="Arial" w:eastAsia="Arial" w:hAnsi="Arial"/>
          <w:color w:val="1A1A2E"/>
          <w:sz w:val="22"/>
          <w:szCs w:val="22"/>
        </w:rPr>
        <w:t xml:space="preserve">Lærere bruker kvelder og helger på å Google seg til faglig trygghet. Forberedelsestid er knapp, og lærebøkene gir ofte bare overflaten.</w:t>
      </w:r>
    </w:p>
    <w:p>
      <w:pPr>
        <w:spacing w:after="120" w:line="276"/>
      </w:pPr>
      <w:r>
        <w:rPr>
          <w:rFonts w:ascii="Arial" w:cs="Arial" w:eastAsia="Arial" w:hAnsi="Arial"/>
          <w:b/>
          <w:bCs/>
          <w:color w:val="1A1A2E"/>
          <w:sz w:val="22"/>
          <w:szCs w:val="22"/>
        </w:rPr>
        <w:t xml:space="preserve">Kvalitetsusikkerhet: </w:t>
      </w:r>
      <w:r>
        <w:rPr>
          <w:rFonts w:ascii="Arial" w:cs="Arial" w:eastAsia="Arial" w:hAnsi="Arial"/>
          <w:color w:val="1A1A2E"/>
          <w:sz w:val="22"/>
          <w:szCs w:val="22"/>
        </w:rPr>
        <w:t xml:space="preserve">Generelle AI-chatboter som ChatGPT hallusinerer, mangler norsk læreplankontekst, og krever at læreren selv kvalitetssikrer output.</w:t>
      </w:r>
    </w:p>
    <w:p>
      <w:pPr>
        <w:spacing w:after="120" w:line="276"/>
      </w:pPr>
      <w:r>
        <w:rPr>
          <w:rFonts w:ascii="Arial" w:cs="Arial" w:eastAsia="Arial" w:hAnsi="Arial"/>
          <w:b/>
          <w:bCs/>
          <w:color w:val="1A1A2E"/>
          <w:sz w:val="22"/>
          <w:szCs w:val="22"/>
        </w:rPr>
        <w:t xml:space="preserve">Formidlingsutfordring: </w:t>
      </w:r>
      <w:r>
        <w:rPr>
          <w:rFonts w:ascii="Arial" w:cs="Arial" w:eastAsia="Arial" w:hAnsi="Arial"/>
          <w:color w:val="1A1A2E"/>
          <w:sz w:val="22"/>
          <w:szCs w:val="22"/>
        </w:rPr>
        <w:t xml:space="preserve">Selv med riktig fakta mangler læreren ofte pedagogiske knagger, metaforer og kunnskap om typiske misforståelser blant elevene.</w:t>
      </w:r>
    </w:p>
    <w:p>
      <w:pPr>
        <w:pStyle w:val="Heading2"/>
        <w:spacing w:before="280" w:after="160"/>
      </w:pPr>
      <w:r>
        <w:t xml:space="preserve">2.3 Målgruppe</w:t>
      </w:r>
    </w:p>
    <w:p>
      <w:pPr>
        <w:spacing w:after="120" w:line="276"/>
      </w:pPr>
      <w:r>
        <w:rPr>
          <w:rFonts w:ascii="Arial" w:cs="Arial" w:eastAsia="Arial" w:hAnsi="Arial"/>
          <w:color w:val="1A1A2E"/>
          <w:sz w:val="22"/>
          <w:szCs w:val="22"/>
        </w:rPr>
        <w:t xml:space="preserve">Primær: Lærere som underviser utenfor komfortsonen — uavhengig av trinn. Dette inkluderer grunnskolelærere med få fag i fagkretsen, VGS-lærere som tar vikartimer, og nyutdannede lærere som ennå bygger faglig bredde.</w:t>
      </w:r>
    </w:p>
    <w:p>
      <w:pPr>
        <w:spacing w:after="120" w:line="276"/>
      </w:pPr>
      <w:r>
        <w:rPr>
          <w:rFonts w:ascii="Arial" w:cs="Arial" w:eastAsia="Arial" w:hAnsi="Arial"/>
          <w:color w:val="1A1A2E"/>
          <w:sz w:val="22"/>
          <w:szCs w:val="22"/>
        </w:rPr>
        <w:t xml:space="preserve">Sekundær: Erfarne lærere som vil spare tid på forberedelser, lærerstudenter i praksis, og skoleledere som ønsker å støtte lærernes faglige utvikling.</w:t>
      </w:r>
    </w:p>
    <w:p>
      <w:pPr>
        <w:pStyle w:val="Heading1"/>
        <w:spacing w:before="360" w:after="200"/>
      </w:pPr>
      <w:r>
        <w:t xml:space="preserve">3. Produktvisjon og brukeropplevelse</w:t>
      </w:r>
    </w:p>
    <w:p>
      <w:pPr>
        <w:pStyle w:val="Heading2"/>
        <w:spacing w:before="280" w:after="160"/>
      </w:pPr>
      <w:r>
        <w:t xml:space="preserve">3.1 Kjernekonsept</w:t>
      </w:r>
    </w:p>
    <w:p>
      <w:pPr>
        <w:spacing w:after="120" w:line="276"/>
      </w:pPr>
      <w:r>
        <w:rPr>
          <w:rFonts w:ascii="Arial" w:cs="Arial" w:eastAsia="Arial" w:hAnsi="Arial"/>
          <w:color w:val="1A1A2E"/>
          <w:sz w:val="22"/>
          <w:szCs w:val="22"/>
        </w:rPr>
        <w:t xml:space="preserve">Prepp.ai leverer en ferdig, strukturert fagbriefing — kalt «Lærer-briefen». Brukeropplevelsen er bevisst designet som enveiskommunikasjon: læreren gir input, systemet leverer en komplett rapport. Ingen endelaus chat, ingen prompt engineering.</w:t>
      </w:r>
    </w:p>
    <w:p>
      <w:pPr>
        <w:pStyle w:val="Heading2"/>
        <w:spacing w:before="280" w:after="160"/>
      </w:pPr>
      <w:r>
        <w:t xml:space="preserve">3.2 Brukerflyt</w:t>
      </w:r>
    </w:p>
    <w:p>
      <w:pPr>
        <w:spacing w:after="120" w:line="276"/>
      </w:pPr>
      <w:r>
        <w:rPr>
          <w:rFonts w:ascii="Arial" w:cs="Arial" w:eastAsia="Arial" w:hAnsi="Arial"/>
          <w:color w:val="1A1A2E"/>
          <w:sz w:val="22"/>
          <w:szCs w:val="22"/>
        </w:rPr>
        <w:t xml:space="preserve">Kjerneflyt i tre steg: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63"/>
        <w:gridCol w:w="4263"/>
      </w:tblGrid>
      <w:tr>
        <w:tc>
          <w:tcPr>
            <w:tcW w:type="dxa" w:w="15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Steg</w:t>
            </w:r>
          </w:p>
        </w:tc>
        <w:tc>
          <w:tcPr>
            <w:tcW w:type="dxa" w:w="3263"/>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Handling</w:t>
            </w:r>
          </w:p>
        </w:tc>
        <w:tc>
          <w:tcPr>
            <w:tcW w:type="dxa" w:w="4263"/>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Detaljer</w:t>
            </w:r>
          </w:p>
        </w:tc>
      </w:tr>
      <w:tr>
        <w:tc>
          <w:tcPr>
            <w:tcW w:type="dxa" w:w="1500"/>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b/>
                <w:bCs/>
                <w:color w:val="1A1A2E"/>
                <w:sz w:val="20"/>
                <w:szCs w:val="20"/>
              </w:rPr>
              <w:t xml:space="preserve">1. Input</w:t>
            </w:r>
          </w:p>
        </w:tc>
        <w:tc>
          <w:tcPr>
            <w:tcW w:type="dxa" w:w="3263"/>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Læreren fyller inn tre felt</w:t>
            </w:r>
          </w:p>
        </w:tc>
        <w:tc>
          <w:tcPr>
            <w:tcW w:type="dxa" w:w="4263"/>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Fag (dropdown fra LK20), Trinn (1–13/VG1–VG3), Tema (fritekst)</w:t>
            </w:r>
          </w:p>
        </w:tc>
      </w:tr>
      <w:tr>
        <w:tc>
          <w:tcPr>
            <w:tcW w:type="dxa" w:w="15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2. Prosessering</w:t>
            </w:r>
          </w:p>
        </w:tc>
        <w:tc>
          <w:tcPr>
            <w:tcW w:type="dxa" w:w="3263"/>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AI-pipeline kjører i bakgrunnen</w:t>
            </w:r>
          </w:p>
        </w:tc>
        <w:tc>
          <w:tcPr>
            <w:tcW w:type="dxa" w:w="4263"/>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RAG-oppslag, agentpipeline, faktasjekk. Mål: &lt; 30 sekunder.</w:t>
            </w:r>
          </w:p>
        </w:tc>
      </w:tr>
      <w:tr>
        <w:tc>
          <w:tcPr>
            <w:tcW w:type="dxa" w:w="1500"/>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b/>
                <w:bCs/>
                <w:color w:val="1A1A2E"/>
                <w:sz w:val="20"/>
                <w:szCs w:val="20"/>
              </w:rPr>
              <w:t xml:space="preserve">3. Leveranse</w:t>
            </w:r>
          </w:p>
        </w:tc>
        <w:tc>
          <w:tcPr>
            <w:tcW w:type="dxa" w:w="3263"/>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Strukturert brief vises</w:t>
            </w:r>
          </w:p>
        </w:tc>
        <w:tc>
          <w:tcPr>
            <w:tcW w:type="dxa" w:w="4263"/>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Responsivt format tilpasset enhet (mobil/desktop)</w:t>
            </w:r>
          </w:p>
        </w:tc>
      </w:tr>
    </w:tbl>
    <w:p>
      <w:pPr>
        <w:spacing w:after="120"/>
      </w:pPr>
    </w:p>
    <w:p>
      <w:pPr>
        <w:pStyle w:val="Heading2"/>
        <w:spacing w:before="280" w:after="160"/>
      </w:pPr>
      <w:r>
        <w:t xml:space="preserve">3.3 Lærer-briefens struktur</w:t>
      </w:r>
    </w:p>
    <w:p>
      <w:pPr>
        <w:spacing w:after="120" w:line="276"/>
      </w:pPr>
      <w:r>
        <w:rPr>
          <w:rFonts w:ascii="Arial" w:cs="Arial" w:eastAsia="Arial" w:hAnsi="Arial"/>
          <w:color w:val="1A1A2E"/>
          <w:sz w:val="22"/>
          <w:szCs w:val="22"/>
        </w:rPr>
        <w:t xml:space="preserve">Briefen består av følgende seksjoner, presentert i fast rekkefølge: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Seksjon</w:t>
            </w:r>
          </w:p>
        </w:tc>
        <w:tc>
          <w:tcPr>
            <w:tcW w:type="dxa" w:w="3263"/>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Innhold</w:t>
            </w:r>
          </w:p>
        </w:tc>
        <w:tc>
          <w:tcPr>
            <w:tcW w:type="dxa" w:w="3263"/>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Agent-ansvarlig</w:t>
            </w:r>
          </w:p>
        </w:tc>
      </w:tr>
      <w:tr>
        <w:tc>
          <w:tcPr>
            <w:tcW w:type="dxa" w:w="2500"/>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b/>
                <w:bCs/>
                <w:color w:val="1A1A2E"/>
                <w:sz w:val="20"/>
                <w:szCs w:val="20"/>
              </w:rPr>
              <w:t xml:space="preserve">Læreplankobling</w:t>
            </w:r>
          </w:p>
        </w:tc>
        <w:tc>
          <w:tcPr>
            <w:tcW w:type="dxa" w:w="3263"/>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Relevante kompetansemål fra LK20, tverrfaglige temaer, grunnleggende ferdigheter</w:t>
            </w:r>
          </w:p>
        </w:tc>
        <w:tc>
          <w:tcPr>
            <w:tcW w:type="dxa" w:w="3263"/>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Kapteinen</w:t>
            </w:r>
          </w:p>
        </w:tc>
      </w:tr>
      <w:tr>
        <w:tc>
          <w:tcPr>
            <w:tcW w:type="dxa" w:w="25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Faglig dybde</w:t>
            </w:r>
          </w:p>
        </w:tc>
        <w:tc>
          <w:tcPr>
            <w:tcW w:type="dxa" w:w="3263"/>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Kjernekonsepter, sammenhenger, historisk/faglig kontekst</w:t>
            </w:r>
          </w:p>
        </w:tc>
        <w:tc>
          <w:tcPr>
            <w:tcW w:type="dxa" w:w="3263"/>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Losen</w:t>
            </w:r>
          </w:p>
        </w:tc>
      </w:tr>
      <w:tr>
        <w:tc>
          <w:tcPr>
            <w:tcW w:type="dxa" w:w="2500"/>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b/>
                <w:bCs/>
                <w:color w:val="1A1A2E"/>
                <w:sz w:val="20"/>
                <w:szCs w:val="20"/>
              </w:rPr>
              <w:t xml:space="preserve">Pedagogiske tips</w:t>
            </w:r>
          </w:p>
        </w:tc>
        <w:tc>
          <w:tcPr>
            <w:tcW w:type="dxa" w:w="3263"/>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Metaforer, analogier, «knagger», forslag til aktiviteter</w:t>
            </w:r>
          </w:p>
        </w:tc>
        <w:tc>
          <w:tcPr>
            <w:tcW w:type="dxa" w:w="3263"/>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Pedagogen</w:t>
            </w:r>
          </w:p>
        </w:tc>
      </w:tr>
      <w:tr>
        <w:tc>
          <w:tcPr>
            <w:tcW w:type="dxa" w:w="25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Elevspørsmål og feller</w:t>
            </w:r>
          </w:p>
        </w:tc>
        <w:tc>
          <w:tcPr>
            <w:tcW w:type="dxa" w:w="3263"/>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Forventede spørsmål, vanlige misforståelser, forberedte svar</w:t>
            </w:r>
          </w:p>
        </w:tc>
        <w:tc>
          <w:tcPr>
            <w:tcW w:type="dxa" w:w="3263"/>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Revisoren</w:t>
            </w:r>
          </w:p>
        </w:tc>
      </w:tr>
      <w:tr>
        <w:tc>
          <w:tcPr>
            <w:tcW w:type="dxa" w:w="2500"/>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b/>
                <w:bCs/>
                <w:color w:val="1A1A2E"/>
                <w:sz w:val="20"/>
                <w:szCs w:val="20"/>
              </w:rPr>
              <w:t xml:space="preserve">Kilder</w:t>
            </w:r>
          </w:p>
        </w:tc>
        <w:tc>
          <w:tcPr>
            <w:tcW w:type="dxa" w:w="3263"/>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Direkte lenker til SNL, NDLA, Udir med sitatreferanser</w:t>
            </w:r>
          </w:p>
        </w:tc>
        <w:tc>
          <w:tcPr>
            <w:tcW w:type="dxa" w:w="3263"/>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Alle agenter</w:t>
            </w:r>
          </w:p>
        </w:tc>
      </w:tr>
    </w:tbl>
    <w:p>
      <w:pPr>
        <w:spacing w:after="120"/>
      </w:pPr>
    </w:p>
    <w:p>
      <w:pPr>
        <w:pStyle w:val="Heading2"/>
        <w:spacing w:before="280" w:after="160"/>
      </w:pPr>
      <w:r>
        <w:t xml:space="preserve">3.4 Oppfølgingsfunksjon</w:t>
      </w:r>
    </w:p>
    <w:p>
      <w:pPr>
        <w:spacing w:after="120" w:line="276"/>
      </w:pPr>
      <w:r>
        <w:rPr>
          <w:rFonts w:ascii="Arial" w:cs="Arial" w:eastAsia="Arial" w:hAnsi="Arial"/>
          <w:color w:val="1A1A2E"/>
          <w:sz w:val="22"/>
          <w:szCs w:val="22"/>
        </w:rPr>
        <w:t xml:space="preserve">Etter at briefen er levert, får læreren én mulighet til oppfølging via en «Grav dypere»-knapp. Dette genererer en utvidet brief på det valgte deltemaet. Funksjonen er bevisst begrenset til én runde for å bevare konseptets enveiskommunikasjon — dette er et leveranseverktøy, ikke en chatbot.</w:t>
      </w:r>
    </w:p>
    <w:p>
      <w:pPr>
        <w:pStyle w:val="Heading2"/>
        <w:spacing w:before="280" w:after="160"/>
      </w:pPr>
      <w:r>
        <w:t xml:space="preserve">3.5 Plattformtilpasning</w:t>
      </w:r>
    </w:p>
    <w:p>
      <w:pPr>
        <w:spacing w:after="120" w:line="276"/>
      </w:pPr>
      <w:r>
        <w:rPr>
          <w:rFonts w:ascii="Arial" w:cs="Arial" w:eastAsia="Arial" w:hAnsi="Arial"/>
          <w:b/>
          <w:bCs/>
          <w:color w:val="1A1A2E"/>
          <w:sz w:val="22"/>
          <w:szCs w:val="22"/>
        </w:rPr>
        <w:t xml:space="preserve">Mobil («Lomme-Losen»): </w:t>
      </w:r>
      <w:r>
        <w:rPr>
          <w:rFonts w:ascii="Arial" w:cs="Arial" w:eastAsia="Arial" w:hAnsi="Arial"/>
          <w:color w:val="1A1A2E"/>
          <w:sz w:val="22"/>
          <w:szCs w:val="22"/>
        </w:rPr>
        <w:t xml:space="preserve">Kortbasert UI med flashcard-format. Nøkkelfakta, kompetansemål og elevspørsmål presentert som swipbare kort. Optimalisert for kjapp repetering på bussen eller i friminuttet.</w:t>
      </w:r>
    </w:p>
    <w:p>
      <w:pPr>
        <w:spacing w:after="120" w:line="276"/>
      </w:pPr>
      <w:r>
        <w:rPr>
          <w:rFonts w:ascii="Arial" w:cs="Arial" w:eastAsia="Arial" w:hAnsi="Arial"/>
          <w:b/>
          <w:bCs/>
          <w:color w:val="1A1A2E"/>
          <w:sz w:val="22"/>
          <w:szCs w:val="22"/>
        </w:rPr>
        <w:t xml:space="preserve">Desktop («Kapteinens Bord»): </w:t>
      </w:r>
      <w:r>
        <w:rPr>
          <w:rFonts w:ascii="Arial" w:cs="Arial" w:eastAsia="Arial" w:hAnsi="Arial"/>
          <w:color w:val="1A1A2E"/>
          <w:sz w:val="22"/>
          <w:szCs w:val="22"/>
        </w:rPr>
        <w:t xml:space="preserve">Full oversikt med kildehenvisninger, mulighet til å generere PDF («Jukselapp» til kateteret), og eksport til slides. Optimalisert for dypdykk og planlegging.</w:t>
      </w:r>
    </w:p>
    <w:p>
      <w:r>
        <w:br w:type="page"/>
      </w:r>
    </w:p>
    <w:p>
      <w:pPr>
        <w:pStyle w:val="Heading1"/>
        <w:spacing w:before="360" w:after="200"/>
      </w:pPr>
      <w:r>
        <w:t xml:space="preserve">4. Teknisk arkitektur</w:t>
      </w:r>
    </w:p>
    <w:p>
      <w:pPr>
        <w:pStyle w:val="Heading2"/>
        <w:spacing w:before="280" w:after="160"/>
      </w:pPr>
      <w:r>
        <w:t xml:space="preserve">4.1 Systemoverblkk</w:t>
      </w:r>
    </w:p>
    <w:p>
      <w:pPr>
        <w:spacing w:after="120" w:line="276"/>
      </w:pPr>
      <w:r>
        <w:rPr>
          <w:rFonts w:ascii="Arial" w:cs="Arial" w:eastAsia="Arial" w:hAnsi="Arial"/>
          <w:color w:val="1A1A2E"/>
          <w:sz w:val="22"/>
          <w:szCs w:val="22"/>
        </w:rPr>
        <w:t xml:space="preserve">Prepp.ai er designet som en moderne, skybasert applikasjon med tydelig separasjon mellom frontend, backend og AI-pipeline. Arkitekturen prioriterer lav latency, høy pålitelighet og kostnadseffektivitet.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13"/>
        <w:gridCol w:w="4213"/>
      </w:tblGrid>
      <w:tr>
        <w:tc>
          <w:tcPr>
            <w:tcW w:type="dxa" w:w="22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Lag</w:t>
            </w:r>
          </w:p>
        </w:tc>
        <w:tc>
          <w:tcPr>
            <w:tcW w:type="dxa" w:w="2613"/>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Teknologi</w:t>
            </w:r>
          </w:p>
        </w:tc>
        <w:tc>
          <w:tcPr>
            <w:tcW w:type="dxa" w:w="4213"/>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Begrunnelse</w:t>
            </w:r>
          </w:p>
        </w:tc>
      </w:tr>
      <w:tr>
        <w:tc>
          <w:tcPr>
            <w:tcW w:type="dxa" w:w="2200"/>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b/>
                <w:bCs/>
                <w:color w:val="1A1A2E"/>
                <w:sz w:val="20"/>
                <w:szCs w:val="20"/>
              </w:rPr>
              <w:t xml:space="preserve">Frontend</w:t>
            </w:r>
          </w:p>
        </w:tc>
        <w:tc>
          <w:tcPr>
            <w:tcW w:type="dxa" w:w="2613"/>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Next.js 14+ (App Router)</w:t>
            </w:r>
          </w:p>
        </w:tc>
        <w:tc>
          <w:tcPr>
            <w:tcW w:type="dxa" w:w="4213"/>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SSR, god SEO, React Server Components, enkel deployment på Vercel</w:t>
            </w:r>
          </w:p>
        </w:tc>
      </w:tr>
      <w:tr>
        <w:tc>
          <w:tcPr>
            <w:tcW w:type="dxa" w:w="2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Backend/API</w:t>
            </w:r>
          </w:p>
        </w:tc>
        <w:tc>
          <w:tcPr>
            <w:tcW w:type="dxa" w:w="2613"/>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FastAPI (Python)</w:t>
            </w:r>
          </w:p>
        </w:tc>
        <w:tc>
          <w:tcPr>
            <w:tcW w:type="dxa" w:w="4213"/>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Async, rask, god integrasjon med AI-biblioteker, typing</w:t>
            </w:r>
          </w:p>
        </w:tc>
      </w:tr>
      <w:tr>
        <w:tc>
          <w:tcPr>
            <w:tcW w:type="dxa" w:w="2200"/>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b/>
                <w:bCs/>
                <w:color w:val="1A1A2E"/>
                <w:sz w:val="20"/>
                <w:szCs w:val="20"/>
              </w:rPr>
              <w:t xml:space="preserve">Database</w:t>
            </w:r>
          </w:p>
        </w:tc>
        <w:tc>
          <w:tcPr>
            <w:tcW w:type="dxa" w:w="2613"/>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Supabase (PostgreSQL)</w:t>
            </w:r>
          </w:p>
        </w:tc>
        <w:tc>
          <w:tcPr>
            <w:tcW w:type="dxa" w:w="4213"/>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Auth, RLS, realtime, vektorlagring via pgvector</w:t>
            </w:r>
          </w:p>
        </w:tc>
      </w:tr>
      <w:tr>
        <w:tc>
          <w:tcPr>
            <w:tcW w:type="dxa" w:w="2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AI-pipeline</w:t>
            </w:r>
          </w:p>
        </w:tc>
        <w:tc>
          <w:tcPr>
            <w:tcW w:type="dxa" w:w="2613"/>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Single-agent + RAG</w:t>
            </w:r>
          </w:p>
        </w:tc>
        <w:tc>
          <w:tcPr>
            <w:tcW w:type="dxa" w:w="4213"/>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Start enkelt, splitt til multi-agent når kompleksiteten krever det</w:t>
            </w:r>
          </w:p>
        </w:tc>
      </w:tr>
      <w:tr>
        <w:tc>
          <w:tcPr>
            <w:tcW w:type="dxa" w:w="2200"/>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b/>
                <w:bCs/>
                <w:color w:val="1A1A2E"/>
                <w:sz w:val="20"/>
                <w:szCs w:val="20"/>
              </w:rPr>
              <w:t xml:space="preserve">Vektorbase</w:t>
            </w:r>
          </w:p>
        </w:tc>
        <w:tc>
          <w:tcPr>
            <w:tcW w:type="dxa" w:w="2613"/>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pgvector (Supabase)</w:t>
            </w:r>
          </w:p>
        </w:tc>
        <w:tc>
          <w:tcPr>
            <w:tcW w:type="dxa" w:w="4213"/>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Integrert i eksisterende database, ingen ekstra infrastruktur</w:t>
            </w:r>
          </w:p>
        </w:tc>
      </w:tr>
      <w:tr>
        <w:tc>
          <w:tcPr>
            <w:tcW w:type="dxa" w:w="2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Hosting</w:t>
            </w:r>
          </w:p>
        </w:tc>
        <w:tc>
          <w:tcPr>
            <w:tcW w:type="dxa" w:w="2613"/>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Vercel + Railway/Fly.io</w:t>
            </w:r>
          </w:p>
        </w:tc>
        <w:tc>
          <w:tcPr>
            <w:tcW w:type="dxa" w:w="4213"/>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Frontend på Vercel, backend på Railway/Fly.io for Python-støtte</w:t>
            </w:r>
          </w:p>
        </w:tc>
      </w:tr>
      <w:tr>
        <w:tc>
          <w:tcPr>
            <w:tcW w:type="dxa" w:w="2200"/>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b/>
                <w:bCs/>
                <w:color w:val="1A1A2E"/>
                <w:sz w:val="20"/>
                <w:szCs w:val="20"/>
              </w:rPr>
              <w:t xml:space="preserve">Caching</w:t>
            </w:r>
          </w:p>
        </w:tc>
        <w:tc>
          <w:tcPr>
            <w:tcW w:type="dxa" w:w="2613"/>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Redis (Upstash)</w:t>
            </w:r>
          </w:p>
        </w:tc>
        <w:tc>
          <w:tcPr>
            <w:tcW w:type="dxa" w:w="4213"/>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Cache hyppige spørringer, rate limiting, sesjonshåndtering</w:t>
            </w:r>
          </w:p>
        </w:tc>
      </w:tr>
    </w:tbl>
    <w:p>
      <w:pPr>
        <w:spacing w:after="120"/>
      </w:pPr>
    </w:p>
    <w:p>
      <w:pPr>
        <w:pStyle w:val="Heading2"/>
        <w:spacing w:before="280" w:after="160"/>
      </w:pPr>
      <w:r>
        <w:t xml:space="preserve">4.2 AI-pipeline: Detaljert design</w:t>
      </w:r>
    </w:p>
    <w:p>
      <w:pPr>
        <w:pStyle w:val="Heading3"/>
        <w:spacing w:before="200" w:after="120"/>
      </w:pPr>
      <w:r>
        <w:t xml:space="preserve">Fase 1: MVP — Single Agent med strukturert prompt</w:t>
      </w:r>
    </w:p>
    <w:p>
      <w:pPr>
        <w:spacing w:after="120" w:line="276"/>
      </w:pPr>
      <w:r>
        <w:rPr>
          <w:rFonts w:ascii="Arial" w:cs="Arial" w:eastAsia="Arial" w:hAnsi="Arial"/>
          <w:color w:val="1A1A2E"/>
          <w:sz w:val="22"/>
          <w:szCs w:val="22"/>
        </w:rPr>
        <w:t xml:space="preserve">For MVP brukes én enkelt LLM-kall (Claude Sonnet eller GPT-4o) med et veldesignet systemprompt som simulerer de fire agentrollene. Denne tilnærmingen gir 80% av verdien til en multi-agent-arkitektur med vesentlig lavere latency og kostnad.</w:t>
      </w:r>
    </w:p>
    <w:p>
      <w:pPr>
        <w:spacing w:after="120" w:line="276"/>
      </w:pPr>
      <w:r>
        <w:rPr>
          <w:rFonts w:ascii="Arial" w:cs="Arial" w:eastAsia="Arial" w:hAnsi="Arial"/>
          <w:b/>
          <w:bCs/>
          <w:color w:val="1A1A2E"/>
          <w:sz w:val="22"/>
          <w:szCs w:val="22"/>
        </w:rPr>
        <w:t xml:space="preserve">Pipeline-steg for hvert request:</w:t>
      </w:r>
    </w:p>
    <w:p>
      <w:pPr>
        <w:pStyle w:val="ListParagraph"/>
        <w:numPr>
          <w:ilvl w:val="0"/>
          <w:numId w:val="2"/>
        </w:numPr>
        <w:spacing w:after="80"/>
      </w:pPr>
      <w:r>
        <w:rPr>
          <w:rFonts w:ascii="Arial" w:cs="Arial" w:eastAsia="Arial" w:hAnsi="Arial"/>
          <w:sz w:val="22"/>
          <w:szCs w:val="22"/>
        </w:rPr>
        <w:t xml:space="preserve">Query-analyse: Brukerens input (fag, trinn, tema) normaliseres og valideres mot LK20-taksonomi.</w:t>
      </w:r>
    </w:p>
    <w:p>
      <w:pPr>
        <w:pStyle w:val="ListParagraph"/>
        <w:numPr>
          <w:ilvl w:val="0"/>
          <w:numId w:val="2"/>
        </w:numPr>
        <w:spacing w:after="80"/>
      </w:pPr>
      <w:r>
        <w:rPr>
          <w:rFonts w:ascii="Arial" w:cs="Arial" w:eastAsia="Arial" w:hAnsi="Arial"/>
          <w:sz w:val="22"/>
          <w:szCs w:val="22"/>
        </w:rPr>
        <w:t xml:space="preserve">RAG-oppslag: Vektorsøk i kildebasen (SNL, NDLA, Udir) returnerer de mest relevante dokumentchunkene.</w:t>
      </w:r>
    </w:p>
    <w:p>
      <w:pPr>
        <w:pStyle w:val="ListParagraph"/>
        <w:numPr>
          <w:ilvl w:val="0"/>
          <w:numId w:val="2"/>
        </w:numPr>
        <w:spacing w:after="80"/>
      </w:pPr>
      <w:r>
        <w:rPr>
          <w:rFonts w:ascii="Arial" w:cs="Arial" w:eastAsia="Arial" w:hAnsi="Arial"/>
          <w:sz w:val="22"/>
          <w:szCs w:val="22"/>
        </w:rPr>
        <w:t xml:space="preserve">Kontekstsammensetning: System-prompt + RAG-kontekst + brukerinput settes sammen.</w:t>
      </w:r>
    </w:p>
    <w:p>
      <w:pPr>
        <w:pStyle w:val="ListParagraph"/>
        <w:numPr>
          <w:ilvl w:val="0"/>
          <w:numId w:val="2"/>
        </w:numPr>
        <w:spacing w:after="80"/>
      </w:pPr>
      <w:r>
        <w:rPr>
          <w:rFonts w:ascii="Arial" w:cs="Arial" w:eastAsia="Arial" w:hAnsi="Arial"/>
          <w:sz w:val="22"/>
          <w:szCs w:val="22"/>
        </w:rPr>
        <w:t xml:space="preserve">LLM-generering: En enkelt, strukturert prompt ber modellen produsere alle seksjoner i briefen.</w:t>
      </w:r>
    </w:p>
    <w:p>
      <w:pPr>
        <w:pStyle w:val="ListParagraph"/>
        <w:numPr>
          <w:ilvl w:val="0"/>
          <w:numId w:val="2"/>
        </w:numPr>
        <w:spacing w:after="120"/>
      </w:pPr>
      <w:r>
        <w:rPr>
          <w:rFonts w:ascii="Arial" w:cs="Arial" w:eastAsia="Arial" w:hAnsi="Arial"/>
          <w:sz w:val="22"/>
          <w:szCs w:val="22"/>
        </w:rPr>
        <w:t xml:space="preserve">Postprosessering: Output valideres (kildekontroll, format), caches, og returneres til frontend.</w:t>
      </w:r>
    </w:p>
    <w:p>
      <w:pPr>
        <w:pStyle w:val="Heading3"/>
        <w:spacing w:before="200" w:after="120"/>
      </w:pPr>
      <w:r>
        <w:t xml:space="preserve">Fase 2: Multi-agent (Skalering)</w:t>
      </w:r>
    </w:p>
    <w:p>
      <w:pPr>
        <w:spacing w:after="120" w:line="276"/>
      </w:pPr>
      <w:r>
        <w:rPr>
          <w:rFonts w:ascii="Arial" w:cs="Arial" w:eastAsia="Arial" w:hAnsi="Arial"/>
          <w:color w:val="1A1A2E"/>
          <w:sz w:val="22"/>
          <w:szCs w:val="22"/>
        </w:rPr>
        <w:t xml:space="preserve">Når produktet har bevist product-market fit, kan pipelinen splittes til dedikerte agenter for parallell prosessering og høyere kvalitet på delseksjonene. Hvert agentkall kan da kjøres med en spesialisert prompt og eventuelt en annen modell (f.eks. en billigere modell for læreplankobling, en kraftigere for pedagogiske tips).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13"/>
        <w:gridCol w:w="4013"/>
      </w:tblGrid>
      <w:tr>
        <w:tc>
          <w:tcPr>
            <w:tcW w:type="dxa" w:w="20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w:t>
            </w:r>
          </w:p>
        </w:tc>
        <w:tc>
          <w:tcPr>
            <w:tcW w:type="dxa" w:w="3013"/>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Ansvar</w:t>
            </w:r>
          </w:p>
        </w:tc>
        <w:tc>
          <w:tcPr>
            <w:tcW w:type="dxa" w:w="4013"/>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Teknisk detalj</w:t>
            </w:r>
          </w:p>
        </w:tc>
      </w:tr>
      <w:tr>
        <w:tc>
          <w:tcPr>
            <w:tcW w:type="dxa" w:w="2000"/>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b/>
                <w:bCs/>
                <w:color w:val="1A1A2E"/>
                <w:sz w:val="20"/>
                <w:szCs w:val="20"/>
              </w:rPr>
              <w:t xml:space="preserve">Kapteinen</w:t>
            </w:r>
          </w:p>
        </w:tc>
        <w:tc>
          <w:tcPr>
            <w:tcW w:type="dxa" w:w="3013"/>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Læreplankobling og relevansfiltrering</w:t>
            </w:r>
          </w:p>
        </w:tc>
        <w:tc>
          <w:tcPr>
            <w:tcW w:type="dxa" w:w="4013"/>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RAG mot Udir-data. Kan bruke en rask, billig modell (Haiku/GPT-4o-mini).</w:t>
            </w:r>
          </w:p>
        </w:tc>
      </w:tr>
      <w:tr>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Losen</w:t>
            </w:r>
          </w:p>
        </w:tc>
        <w:tc>
          <w:tcPr>
            <w:tcW w:type="dxa" w:w="3013"/>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Faglig dybde fra verifiserte kilder</w:t>
            </w:r>
          </w:p>
        </w:tc>
        <w:tc>
          <w:tcPr>
            <w:tcW w:type="dxa" w:w="4013"/>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RAG mot SNL + NDLA. Krever større kontekstvindu for lange artikler.</w:t>
            </w:r>
          </w:p>
        </w:tc>
      </w:tr>
      <w:tr>
        <w:tc>
          <w:tcPr>
            <w:tcW w:type="dxa" w:w="2000"/>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b/>
                <w:bCs/>
                <w:color w:val="1A1A2E"/>
                <w:sz w:val="20"/>
                <w:szCs w:val="20"/>
              </w:rPr>
              <w:t xml:space="preserve">Pedagogen</w:t>
            </w:r>
          </w:p>
        </w:tc>
        <w:tc>
          <w:tcPr>
            <w:tcW w:type="dxa" w:w="3013"/>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Formidlingstips og aktivitetsforslag</w:t>
            </w:r>
          </w:p>
        </w:tc>
        <w:tc>
          <w:tcPr>
            <w:tcW w:type="dxa" w:w="4013"/>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Bruker output fra Losen som input. Kraftig modell (Sonnet/GPT-4o).</w:t>
            </w:r>
          </w:p>
        </w:tc>
      </w:tr>
      <w:tr>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Revisoren</w:t>
            </w:r>
          </w:p>
        </w:tc>
        <w:tc>
          <w:tcPr>
            <w:tcW w:type="dxa" w:w="3013"/>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Faktasjekk og elevspørsmål</w:t>
            </w:r>
          </w:p>
        </w:tc>
        <w:tc>
          <w:tcPr>
            <w:tcW w:type="dxa" w:w="4013"/>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Får all output, kryss-sjekker mot kilder. Kraftig modell.</w:t>
            </w:r>
          </w:p>
        </w:tc>
      </w:tr>
    </w:tbl>
    <w:p>
      <w:pPr>
        <w:spacing w:after="120"/>
      </w:pPr>
    </w:p>
    <w:p>
      <w:pPr>
        <w:pStyle w:val="Heading2"/>
        <w:spacing w:before="280" w:after="160"/>
      </w:pPr>
      <w:r>
        <w:t xml:space="preserve">4.3 RAG-arkitektur</w:t>
      </w:r>
    </w:p>
    <w:p>
      <w:pPr>
        <w:pStyle w:val="Heading3"/>
        <w:spacing w:before="200" w:after="120"/>
      </w:pPr>
      <w:r>
        <w:t xml:space="preserve">Kildebase</w:t>
      </w:r>
    </w:p>
    <w:p>
      <w:pPr>
        <w:spacing w:after="120" w:line="276"/>
      </w:pPr>
      <w:r>
        <w:rPr>
          <w:rFonts w:ascii="Arial" w:cs="Arial" w:eastAsia="Arial" w:hAnsi="Arial"/>
          <w:color w:val="1A1A2E"/>
          <w:sz w:val="22"/>
          <w:szCs w:val="22"/>
        </w:rPr>
        <w:t xml:space="preserve">Kjernen i Prepp.ais tillitsargument er RAG-pipelinen. Innhold hentes fra tre primærkilder:</w:t>
      </w:r>
    </w:p>
    <w:p>
      <w:pPr>
        <w:pStyle w:val="ListParagraph"/>
        <w:numPr>
          <w:ilvl w:val="0"/>
          <w:numId w:val="3"/>
        </w:numPr>
        <w:spacing w:after="80"/>
      </w:pPr>
      <w:r>
        <w:rPr>
          <w:rFonts w:ascii="Arial" w:cs="Arial" w:eastAsia="Arial" w:hAnsi="Arial"/>
          <w:sz w:val="22"/>
          <w:szCs w:val="22"/>
        </w:rPr>
        <w:t xml:space="preserve">Store norske leksikon (SNL): Fagfellevurdert, oppdatert, bred dekning. Tilgjengelig API.</w:t>
      </w:r>
    </w:p>
    <w:p>
      <w:pPr>
        <w:pStyle w:val="ListParagraph"/>
        <w:numPr>
          <w:ilvl w:val="0"/>
          <w:numId w:val="3"/>
        </w:numPr>
        <w:spacing w:after="80"/>
      </w:pPr>
      <w:r>
        <w:rPr>
          <w:rFonts w:ascii="Arial" w:cs="Arial" w:eastAsia="Arial" w:hAnsi="Arial"/>
          <w:sz w:val="22"/>
          <w:szCs w:val="22"/>
        </w:rPr>
        <w:t xml:space="preserve">NDLA (Nasjonal digital læringsarena): Lærebokinnhold tilpasset norsk skole. Åpent lisensiert innhold.</w:t>
      </w:r>
    </w:p>
    <w:p>
      <w:pPr>
        <w:pStyle w:val="ListParagraph"/>
        <w:numPr>
          <w:ilvl w:val="0"/>
          <w:numId w:val="3"/>
        </w:numPr>
        <w:spacing w:after="120"/>
      </w:pPr>
      <w:r>
        <w:rPr>
          <w:rFonts w:ascii="Arial" w:cs="Arial" w:eastAsia="Arial" w:hAnsi="Arial"/>
          <w:sz w:val="22"/>
          <w:szCs w:val="22"/>
        </w:rPr>
        <w:t xml:space="preserve">Udir (Utdanningsdirektoratet): Kompetansemål, veiledninger, læreplandokumenter.</w:t>
      </w:r>
    </w:p>
    <w:p>
      <w:pPr>
        <w:pStyle w:val="Heading3"/>
        <w:spacing w:before="200" w:after="120"/>
      </w:pPr>
      <w:r>
        <w:t xml:space="preserve">Datainnhenting og indeksering</w:t>
      </w:r>
    </w:p>
    <w:p>
      <w:pPr>
        <w:spacing w:after="120" w:line="276"/>
      </w:pPr>
      <w:r>
        <w:rPr>
          <w:rFonts w:ascii="Arial" w:cs="Arial" w:eastAsia="Arial" w:hAnsi="Arial"/>
          <w:color w:val="1A1A2E"/>
          <w:sz w:val="22"/>
          <w:szCs w:val="22"/>
        </w:rPr>
        <w:t xml:space="preserve">For MVP anbefales web scraping av offentlig tilgjengelig innhold. På lengre sikt bør det inngås API-avtaler, særlig med SNL som har et dokumentert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8"/>
        <w:gridCol w:w="2410"/>
        <w:gridCol w:w="2408"/>
      </w:tblGrid>
      <w:tr>
        <w:tc>
          <w:tcPr>
            <w:tcW w:type="dxa" w:w="18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Kilde</w:t>
            </w:r>
          </w:p>
        </w:tc>
        <w:tc>
          <w:tcPr>
            <w:tcW w:type="dxa" w:w="2408"/>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Metode (MVP)</w:t>
            </w:r>
          </w:p>
        </w:tc>
        <w:tc>
          <w:tcPr>
            <w:tcW w:type="dxa" w:w="241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Metode (Skalering)</w:t>
            </w:r>
          </w:p>
        </w:tc>
        <w:tc>
          <w:tcPr>
            <w:tcW w:type="dxa" w:w="2408"/>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Oppdatering</w:t>
            </w:r>
          </w:p>
        </w:tc>
      </w:tr>
      <w:tr>
        <w:tc>
          <w:tcPr>
            <w:tcW w:type="dxa" w:w="1800"/>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b/>
                <w:bCs/>
                <w:color w:val="1A1A2E"/>
                <w:sz w:val="20"/>
                <w:szCs w:val="20"/>
              </w:rPr>
              <w:t xml:space="preserve">SNL</w:t>
            </w:r>
          </w:p>
        </w:tc>
        <w:tc>
          <w:tcPr>
            <w:tcW w:type="dxa" w:w="2408"/>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API (gratis tilgjengelig)</w:t>
            </w:r>
          </w:p>
        </w:tc>
        <w:tc>
          <w:tcPr>
            <w:tcW w:type="dxa" w:w="2410"/>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Formell API-avtale</w:t>
            </w:r>
          </w:p>
        </w:tc>
        <w:tc>
          <w:tcPr>
            <w:tcW w:type="dxa" w:w="2408"/>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Ukentlig diff-sjekk</w:t>
            </w:r>
          </w:p>
        </w:tc>
      </w:tr>
      <w:tr>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NDLA</w:t>
            </w:r>
          </w:p>
        </w:tc>
        <w:tc>
          <w:tcPr>
            <w:tcW w:type="dxa" w:w="2408"/>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Scraping (åpen lisens)</w:t>
            </w:r>
          </w:p>
        </w:tc>
        <w:tc>
          <w:tcPr>
            <w:tcW w:type="dxa" w:w="241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API/partnerskap</w:t>
            </w:r>
          </w:p>
        </w:tc>
        <w:tc>
          <w:tcPr>
            <w:tcW w:type="dxa" w:w="2408"/>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Månedlig full re-indeks</w:t>
            </w:r>
          </w:p>
        </w:tc>
      </w:tr>
      <w:tr>
        <w:tc>
          <w:tcPr>
            <w:tcW w:type="dxa" w:w="1800"/>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b/>
                <w:bCs/>
                <w:color w:val="1A1A2E"/>
                <w:sz w:val="20"/>
                <w:szCs w:val="20"/>
              </w:rPr>
              <w:t xml:space="preserve">Udir</w:t>
            </w:r>
          </w:p>
        </w:tc>
        <w:tc>
          <w:tcPr>
            <w:tcW w:type="dxa" w:w="2408"/>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Scraping av læreplandokumenter</w:t>
            </w:r>
          </w:p>
        </w:tc>
        <w:tc>
          <w:tcPr>
            <w:tcW w:type="dxa" w:w="2410"/>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Data.udir.no API</w:t>
            </w:r>
          </w:p>
        </w:tc>
        <w:tc>
          <w:tcPr>
            <w:tcW w:type="dxa" w:w="2408"/>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Ved læreplanendringer</w:t>
            </w:r>
          </w:p>
        </w:tc>
      </w:tr>
    </w:tbl>
    <w:p>
      <w:pPr>
        <w:spacing w:after="120"/>
      </w:pPr>
    </w:p>
    <w:p>
      <w:pPr>
        <w:pStyle w:val="Heading3"/>
        <w:spacing w:before="200" w:after="120"/>
      </w:pPr>
      <w:r>
        <w:t xml:space="preserve">Chunking og embedding</w:t>
      </w:r>
    </w:p>
    <w:p>
      <w:pPr>
        <w:spacing w:after="120" w:line="276"/>
      </w:pPr>
      <w:r>
        <w:rPr>
          <w:rFonts w:ascii="Arial" w:cs="Arial" w:eastAsia="Arial" w:hAnsi="Arial"/>
          <w:color w:val="1A1A2E"/>
          <w:sz w:val="22"/>
          <w:szCs w:val="22"/>
        </w:rPr>
        <w:t xml:space="preserve">Dokumenter deles i chunks på 500–800 tokens med 100 tokens overlap. Hvert chunk berikes med metadata: kilde, fag, trinn, tema, sist oppdatert. Embedding gjøres med en norsk-optimalisert modell (f.eks. multilingual-e5-large eller Cohere multilingual).</w:t>
      </w:r>
    </w:p>
    <w:p>
      <w:pPr>
        <w:spacing w:after="120" w:line="276"/>
      </w:pPr>
      <w:r>
        <w:rPr>
          <w:rFonts w:ascii="Arial" w:cs="Arial" w:eastAsia="Arial" w:hAnsi="Arial"/>
          <w:color w:val="1A1A2E"/>
          <w:sz w:val="22"/>
          <w:szCs w:val="22"/>
        </w:rPr>
        <w:t xml:space="preserve">Vektorsøk kjøres med pgvector i Supabase. Topk = 8–12 chunks per query, filtrert på fag og trinn for presisjon. En reranking-modell kan legges til i fase 2 for å forbedre relevansen.</w:t>
      </w:r>
    </w:p>
    <w:p>
      <w:r>
        <w:br w:type="page"/>
      </w:r>
    </w:p>
    <w:p>
      <w:pPr>
        <w:pStyle w:val="Heading2"/>
        <w:spacing w:before="280" w:after="160"/>
      </w:pPr>
      <w:r>
        <w:t xml:space="preserve">4.4 Databaseskjema</w:t>
      </w:r>
    </w:p>
    <w:p>
      <w:pPr>
        <w:spacing w:after="120" w:line="276"/>
      </w:pPr>
      <w:r>
        <w:rPr>
          <w:rFonts w:ascii="Arial" w:cs="Arial" w:eastAsia="Arial" w:hAnsi="Arial"/>
          <w:color w:val="1A1A2E"/>
          <w:sz w:val="22"/>
          <w:szCs w:val="22"/>
        </w:rPr>
        <w:t xml:space="preserve">Sentralt databaseskjema i Supabase (PostgreSQL med pgvector):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13"/>
        <w:gridCol w:w="4213"/>
      </w:tblGrid>
      <w:tr>
        <w:tc>
          <w:tcPr>
            <w:tcW w:type="dxa" w:w="22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Tabell</w:t>
            </w:r>
          </w:p>
        </w:tc>
        <w:tc>
          <w:tcPr>
            <w:tcW w:type="dxa" w:w="2613"/>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Nøkkelfelter</w:t>
            </w:r>
          </w:p>
        </w:tc>
        <w:tc>
          <w:tcPr>
            <w:tcW w:type="dxa" w:w="4213"/>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Formål</w:t>
            </w:r>
          </w:p>
        </w:tc>
      </w:tr>
      <w:tr>
        <w:tc>
          <w:tcPr>
            <w:tcW w:type="dxa" w:w="2200"/>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b/>
                <w:bCs/>
                <w:color w:val="1A1A2E"/>
                <w:sz w:val="20"/>
                <w:szCs w:val="20"/>
              </w:rPr>
              <w:t xml:space="preserve">users</w:t>
            </w:r>
          </w:p>
        </w:tc>
        <w:tc>
          <w:tcPr>
            <w:tcW w:type="dxa" w:w="2613"/>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id, email, role, school_id, plan, created_at</w:t>
            </w:r>
          </w:p>
        </w:tc>
        <w:tc>
          <w:tcPr>
            <w:tcW w:type="dxa" w:w="4213"/>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Brukerhåndtering med Supabase Auth</w:t>
            </w:r>
          </w:p>
        </w:tc>
      </w:tr>
      <w:tr>
        <w:tc>
          <w:tcPr>
            <w:tcW w:type="dxa" w:w="2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schools</w:t>
            </w:r>
          </w:p>
        </w:tc>
        <w:tc>
          <w:tcPr>
            <w:tcW w:type="dxa" w:w="2613"/>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 name, municipality, license_type</w:t>
            </w:r>
          </w:p>
        </w:tc>
        <w:tc>
          <w:tcPr>
            <w:tcW w:type="dxa" w:w="4213"/>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Skolelisens og organisasjonsstruktur</w:t>
            </w:r>
          </w:p>
        </w:tc>
      </w:tr>
      <w:tr>
        <w:tc>
          <w:tcPr>
            <w:tcW w:type="dxa" w:w="2200"/>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b/>
                <w:bCs/>
                <w:color w:val="1A1A2E"/>
                <w:sz w:val="20"/>
                <w:szCs w:val="20"/>
              </w:rPr>
              <w:t xml:space="preserve">briefs</w:t>
            </w:r>
          </w:p>
        </w:tc>
        <w:tc>
          <w:tcPr>
            <w:tcW w:type="dxa" w:w="2613"/>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id, user_id, subject, grade, topic, content (JSONB), sources, created_at</w:t>
            </w:r>
          </w:p>
        </w:tc>
        <w:tc>
          <w:tcPr>
            <w:tcW w:type="dxa" w:w="4213"/>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Genererte briefer med full historikk</w:t>
            </w:r>
          </w:p>
        </w:tc>
      </w:tr>
      <w:tr>
        <w:tc>
          <w:tcPr>
            <w:tcW w:type="dxa" w:w="2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source_chunks</w:t>
            </w:r>
          </w:p>
        </w:tc>
        <w:tc>
          <w:tcPr>
            <w:tcW w:type="dxa" w:w="2613"/>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 source, url, content, embedding (vector), metadata (JSONB)</w:t>
            </w:r>
          </w:p>
        </w:tc>
        <w:tc>
          <w:tcPr>
            <w:tcW w:type="dxa" w:w="4213"/>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RAG-vektorbase for kildeinnhold</w:t>
            </w:r>
          </w:p>
        </w:tc>
      </w:tr>
      <w:tr>
        <w:tc>
          <w:tcPr>
            <w:tcW w:type="dxa" w:w="2200"/>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b/>
                <w:bCs/>
                <w:color w:val="1A1A2E"/>
                <w:sz w:val="20"/>
                <w:szCs w:val="20"/>
              </w:rPr>
              <w:t xml:space="preserve">lk20_goals</w:t>
            </w:r>
          </w:p>
        </w:tc>
        <w:tc>
          <w:tcPr>
            <w:tcW w:type="dxa" w:w="2613"/>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id, subject, grade, goal_text, keywords, embedding</w:t>
            </w:r>
          </w:p>
        </w:tc>
        <w:tc>
          <w:tcPr>
            <w:tcW w:type="dxa" w:w="4213"/>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Strukturert LK20-data for læreplankobling</w:t>
            </w:r>
          </w:p>
        </w:tc>
      </w:tr>
      <w:tr>
        <w:tc>
          <w:tcPr>
            <w:tcW w:type="dxa" w:w="2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usage_logs</w:t>
            </w:r>
          </w:p>
        </w:tc>
        <w:tc>
          <w:tcPr>
            <w:tcW w:type="dxa" w:w="2613"/>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 user_id, action, tokens_used, cost, timestamp</w:t>
            </w:r>
          </w:p>
        </w:tc>
        <w:tc>
          <w:tcPr>
            <w:tcW w:type="dxa" w:w="4213"/>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Forbrukssporing og kostnadsanalyse</w:t>
            </w:r>
          </w:p>
        </w:tc>
      </w:tr>
    </w:tbl>
    <w:p>
      <w:pPr>
        <w:spacing w:after="120"/>
      </w:pPr>
    </w:p>
    <w:p>
      <w:pPr>
        <w:pStyle w:val="Heading2"/>
        <w:spacing w:before="280" w:after="160"/>
      </w:pPr>
      <w:r>
        <w:t xml:space="preserve">4.5 Autentisering og sikkerhet</w:t>
      </w:r>
    </w:p>
    <w:p>
      <w:pPr>
        <w:spacing w:after="120" w:line="276"/>
      </w:pPr>
      <w:r>
        <w:rPr>
          <w:rFonts w:ascii="Arial" w:cs="Arial" w:eastAsia="Arial" w:hAnsi="Arial"/>
          <w:color w:val="1A1A2E"/>
          <w:sz w:val="22"/>
          <w:szCs w:val="22"/>
        </w:rPr>
        <w:t xml:space="preserve">Autentisering håndteres av Supabase Auth med e-post/passord og Feide-innlogging (norsk utdanningssektor). Row Level Security (RLS) sikrer at brukere kun ser egne data. Skolelisenser bruker organisasjonsbasert tilgangskontroll.</w:t>
      </w:r>
    </w:p>
    <w:p>
      <w:pPr>
        <w:spacing w:after="120" w:line="276"/>
      </w:pPr>
      <w:r>
        <w:rPr>
          <w:rFonts w:ascii="Arial" w:cs="Arial" w:eastAsia="Arial" w:hAnsi="Arial"/>
          <w:b/>
          <w:bCs/>
          <w:color w:val="1A1A2E"/>
          <w:sz w:val="22"/>
          <w:szCs w:val="22"/>
        </w:rPr>
        <w:t xml:space="preserve">GDPR: </w:t>
      </w:r>
      <w:r>
        <w:rPr>
          <w:rFonts w:ascii="Arial" w:cs="Arial" w:eastAsia="Arial" w:hAnsi="Arial"/>
          <w:color w:val="1A1A2E"/>
          <w:sz w:val="22"/>
          <w:szCs w:val="22"/>
        </w:rPr>
        <w:t xml:space="preserve">All data lagres i EU (Supabase EU-region). Ingen brukerdata sendes til LLM-leverandører ut over selve prompten. Briefer kan slettes på forespørsel. Databehandleravtale tilbys for skolelisenser.</w:t>
      </w:r>
    </w:p>
    <w:p>
      <w:pPr>
        <w:pStyle w:val="Heading2"/>
        <w:spacing w:before="280" w:after="160"/>
      </w:pPr>
      <w:r>
        <w:t xml:space="preserve">4.6 Infrastruktur og deployment</w:t>
      </w:r>
    </w:p>
    <w:p>
      <w:pPr>
        <w:spacing w:after="120" w:line="276"/>
      </w:pPr>
      <w:r>
        <w:rPr>
          <w:rFonts w:ascii="Arial" w:cs="Arial" w:eastAsia="Arial" w:hAnsi="Arial"/>
          <w:color w:val="1A1A2E"/>
          <w:sz w:val="22"/>
          <w:szCs w:val="22"/>
        </w:rPr>
        <w:t xml:space="preserve">CI/CD via GitHub Actions. Frontend deployes automatisk til Vercel ved merge til main. Backend deployes til Railway med Docker-image. Databasemigrasjoner kjøres med Supabase CLI.</w:t>
      </w:r>
    </w:p>
    <w:p>
      <w:pPr>
        <w:spacing w:after="120" w:line="276"/>
      </w:pPr>
      <w:r>
        <w:rPr>
          <w:rFonts w:ascii="Arial" w:cs="Arial" w:eastAsia="Arial" w:hAnsi="Arial"/>
          <w:color w:val="1A1A2E"/>
          <w:sz w:val="22"/>
          <w:szCs w:val="22"/>
        </w:rPr>
        <w:t xml:space="preserve">Miljøer: development, staging, production. Feature flags via Supabase eller en enkel config-tabell for gradvis utrulling av nye funksjoner.</w:t>
      </w:r>
    </w:p>
    <w:p>
      <w:r>
        <w:br w:type="page"/>
      </w:r>
    </w:p>
    <w:p>
      <w:pPr>
        <w:pStyle w:val="Heading1"/>
        <w:spacing w:before="360" w:after="200"/>
      </w:pPr>
      <w:r>
        <w:t xml:space="preserve">5. MVP-definisjon</w:t>
      </w:r>
    </w:p>
    <w:p>
      <w:pPr>
        <w:pStyle w:val="Heading2"/>
        <w:spacing w:before="280" w:after="160"/>
      </w:pPr>
      <w:r>
        <w:t xml:space="preserve">5.1 Scope</w:t>
      </w:r>
    </w:p>
    <w:p>
      <w:pPr>
        <w:spacing w:after="120" w:line="276"/>
      </w:pPr>
      <w:r>
        <w:rPr>
          <w:rFonts w:ascii="Arial" w:cs="Arial" w:eastAsia="Arial" w:hAnsi="Arial"/>
          <w:color w:val="1A1A2E"/>
          <w:sz w:val="22"/>
          <w:szCs w:val="22"/>
        </w:rPr>
        <w:t xml:space="preserve">MVP-en tester én hypotese: Gir en AI-generert, kildebelagt fagbriefing nok verdi til at lærere kommer tilbake og bruker den igjen?</w:t>
      </w:r>
    </w:p>
    <w:p>
      <w:pPr>
        <w:pStyle w:val="Heading3"/>
        <w:spacing w:before="200" w:after="120"/>
      </w:pPr>
      <w:r>
        <w:t xml:space="preserve">Inkludert i MVP</w:t>
      </w:r>
    </w:p>
    <w:p>
      <w:pPr>
        <w:pStyle w:val="ListParagraph"/>
        <w:numPr>
          <w:ilvl w:val="0"/>
          <w:numId w:val="4"/>
        </w:numPr>
        <w:spacing w:after="80"/>
      </w:pPr>
      <w:r>
        <w:rPr>
          <w:rFonts w:ascii="Arial" w:cs="Arial" w:eastAsia="Arial" w:hAnsi="Arial"/>
          <w:sz w:val="22"/>
          <w:szCs w:val="22"/>
        </w:rPr>
        <w:t xml:space="preserve">Webapplikasjon (desktop-first, responsivt design)</w:t>
      </w:r>
    </w:p>
    <w:p>
      <w:pPr>
        <w:pStyle w:val="ListParagraph"/>
        <w:numPr>
          <w:ilvl w:val="0"/>
          <w:numId w:val="4"/>
        </w:numPr>
        <w:spacing w:after="80"/>
      </w:pPr>
      <w:r>
        <w:rPr>
          <w:rFonts w:ascii="Arial" w:cs="Arial" w:eastAsia="Arial" w:hAnsi="Arial"/>
          <w:sz w:val="22"/>
          <w:szCs w:val="22"/>
        </w:rPr>
        <w:t xml:space="preserve">Input: Fag + Trinn + Tema (fritekst)</w:t>
      </w:r>
    </w:p>
    <w:p>
      <w:pPr>
        <w:pStyle w:val="ListParagraph"/>
        <w:numPr>
          <w:ilvl w:val="0"/>
          <w:numId w:val="4"/>
        </w:numPr>
        <w:spacing w:after="80"/>
      </w:pPr>
      <w:r>
        <w:rPr>
          <w:rFonts w:ascii="Arial" w:cs="Arial" w:eastAsia="Arial" w:hAnsi="Arial"/>
          <w:sz w:val="22"/>
          <w:szCs w:val="22"/>
        </w:rPr>
        <w:t xml:space="preserve">Output: Strukturert brief med alle fem seksjoner</w:t>
      </w:r>
    </w:p>
    <w:p>
      <w:pPr>
        <w:pStyle w:val="ListParagraph"/>
        <w:numPr>
          <w:ilvl w:val="0"/>
          <w:numId w:val="4"/>
        </w:numPr>
        <w:spacing w:after="80"/>
      </w:pPr>
      <w:r>
        <w:rPr>
          <w:rFonts w:ascii="Arial" w:cs="Arial" w:eastAsia="Arial" w:hAnsi="Arial"/>
          <w:sz w:val="22"/>
          <w:szCs w:val="22"/>
        </w:rPr>
        <w:t xml:space="preserve">RAG mot SNL-API og scrapede NDLA/Udir-data</w:t>
      </w:r>
    </w:p>
    <w:p>
      <w:pPr>
        <w:pStyle w:val="ListParagraph"/>
        <w:numPr>
          <w:ilvl w:val="0"/>
          <w:numId w:val="4"/>
        </w:numPr>
        <w:spacing w:after="80"/>
      </w:pPr>
      <w:r>
        <w:rPr>
          <w:rFonts w:ascii="Arial" w:cs="Arial" w:eastAsia="Arial" w:hAnsi="Arial"/>
          <w:sz w:val="22"/>
          <w:szCs w:val="22"/>
        </w:rPr>
        <w:t xml:space="preserve">Single-agent pipeline med strukturert prompt</w:t>
      </w:r>
    </w:p>
    <w:p>
      <w:pPr>
        <w:pStyle w:val="ListParagraph"/>
        <w:numPr>
          <w:ilvl w:val="0"/>
          <w:numId w:val="4"/>
        </w:numPr>
        <w:spacing w:after="80"/>
      </w:pPr>
      <w:r>
        <w:rPr>
          <w:rFonts w:ascii="Arial" w:cs="Arial" w:eastAsia="Arial" w:hAnsi="Arial"/>
          <w:sz w:val="22"/>
          <w:szCs w:val="22"/>
        </w:rPr>
        <w:t xml:space="preserve">Enkel brukerregistrering (e-post)</w:t>
      </w:r>
    </w:p>
    <w:p>
      <w:pPr>
        <w:pStyle w:val="ListParagraph"/>
        <w:numPr>
          <w:ilvl w:val="0"/>
          <w:numId w:val="4"/>
        </w:numPr>
        <w:spacing w:after="120"/>
      </w:pPr>
      <w:r>
        <w:rPr>
          <w:rFonts w:ascii="Arial" w:cs="Arial" w:eastAsia="Arial" w:hAnsi="Arial"/>
          <w:sz w:val="22"/>
          <w:szCs w:val="22"/>
        </w:rPr>
        <w:t xml:space="preserve">Caching av identiske spørringer</w:t>
      </w:r>
    </w:p>
    <w:p>
      <w:pPr>
        <w:pStyle w:val="Heading3"/>
        <w:spacing w:before="200" w:after="120"/>
      </w:pPr>
      <w:r>
        <w:t xml:space="preserve">Ikke inkludert i MVP</w:t>
      </w:r>
    </w:p>
    <w:p>
      <w:pPr>
        <w:pStyle w:val="ListParagraph"/>
        <w:numPr>
          <w:ilvl w:val="0"/>
          <w:numId w:val="5"/>
        </w:numPr>
        <w:spacing w:after="80"/>
      </w:pPr>
      <w:r>
        <w:rPr>
          <w:rFonts w:ascii="Arial" w:cs="Arial" w:eastAsia="Arial" w:hAnsi="Arial"/>
          <w:sz w:val="22"/>
          <w:szCs w:val="22"/>
        </w:rPr>
        <w:t xml:space="preserve">PDF-eksport og slides-generering</w:t>
      </w:r>
    </w:p>
    <w:p>
      <w:pPr>
        <w:pStyle w:val="ListParagraph"/>
        <w:numPr>
          <w:ilvl w:val="0"/>
          <w:numId w:val="5"/>
        </w:numPr>
        <w:spacing w:after="80"/>
      </w:pPr>
      <w:r>
        <w:rPr>
          <w:rFonts w:ascii="Arial" w:cs="Arial" w:eastAsia="Arial" w:hAnsi="Arial"/>
          <w:sz w:val="22"/>
          <w:szCs w:val="22"/>
        </w:rPr>
        <w:t xml:space="preserve">Lydoppsummering (mini-podcast)</w:t>
      </w:r>
    </w:p>
    <w:p>
      <w:pPr>
        <w:pStyle w:val="ListParagraph"/>
        <w:numPr>
          <w:ilvl w:val="0"/>
          <w:numId w:val="5"/>
        </w:numPr>
        <w:spacing w:after="80"/>
      </w:pPr>
      <w:r>
        <w:rPr>
          <w:rFonts w:ascii="Arial" w:cs="Arial" w:eastAsia="Arial" w:hAnsi="Arial"/>
          <w:sz w:val="22"/>
          <w:szCs w:val="22"/>
        </w:rPr>
        <w:t xml:space="preserve">Mobil flashcard-UI (bygges i fase 2)</w:t>
      </w:r>
    </w:p>
    <w:p>
      <w:pPr>
        <w:pStyle w:val="ListParagraph"/>
        <w:numPr>
          <w:ilvl w:val="0"/>
          <w:numId w:val="5"/>
        </w:numPr>
        <w:spacing w:after="80"/>
      </w:pPr>
      <w:r>
        <w:rPr>
          <w:rFonts w:ascii="Arial" w:cs="Arial" w:eastAsia="Arial" w:hAnsi="Arial"/>
          <w:sz w:val="22"/>
          <w:szCs w:val="22"/>
        </w:rPr>
        <w:t xml:space="preserve">Skolelisens og delefunksjonalitet</w:t>
      </w:r>
    </w:p>
    <w:p>
      <w:pPr>
        <w:pStyle w:val="ListParagraph"/>
        <w:numPr>
          <w:ilvl w:val="0"/>
          <w:numId w:val="5"/>
        </w:numPr>
        <w:spacing w:after="80"/>
      </w:pPr>
      <w:r>
        <w:rPr>
          <w:rFonts w:ascii="Arial" w:cs="Arial" w:eastAsia="Arial" w:hAnsi="Arial"/>
          <w:sz w:val="22"/>
          <w:szCs w:val="22"/>
        </w:rPr>
        <w:t xml:space="preserve">Feide-integrasjon</w:t>
      </w:r>
    </w:p>
    <w:p>
      <w:pPr>
        <w:pStyle w:val="ListParagraph"/>
        <w:numPr>
          <w:ilvl w:val="0"/>
          <w:numId w:val="5"/>
        </w:numPr>
        <w:spacing w:after="120"/>
      </w:pPr>
      <w:r>
        <w:rPr>
          <w:rFonts w:ascii="Arial" w:cs="Arial" w:eastAsia="Arial" w:hAnsi="Arial"/>
          <w:sz w:val="22"/>
          <w:szCs w:val="22"/>
        </w:rPr>
        <w:t xml:space="preserve">Multi-agent-arkitektur</w:t>
      </w:r>
    </w:p>
    <w:p>
      <w:pPr>
        <w:pStyle w:val="Heading2"/>
        <w:spacing w:before="280" w:after="160"/>
      </w:pPr>
      <w:r>
        <w:t xml:space="preserve">5.2 Suksesskriterier for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3"/>
        <w:gridCol w:w="3006"/>
        <w:gridCol w:w="3007"/>
      </w:tblGrid>
      <w:tr>
        <w:tc>
          <w:tcPr>
            <w:tcW w:type="dxa" w:w="3013"/>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Metrikk</w:t>
            </w:r>
          </w:p>
        </w:tc>
        <w:tc>
          <w:tcPr>
            <w:tcW w:type="dxa" w:w="3006"/>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Mål</w:t>
            </w:r>
          </w:p>
        </w:tc>
        <w:tc>
          <w:tcPr>
            <w:tcW w:type="dxa" w:w="3007"/>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Målemetode</w:t>
            </w:r>
          </w:p>
        </w:tc>
      </w:tr>
      <w:tr>
        <w:tc>
          <w:tcPr>
            <w:tcW w:type="dxa" w:w="3013"/>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b/>
                <w:bCs/>
                <w:color w:val="1A1A2E"/>
                <w:sz w:val="20"/>
                <w:szCs w:val="20"/>
              </w:rPr>
              <w:t xml:space="preserve">Retention (7 dager)</w:t>
            </w:r>
          </w:p>
        </w:tc>
        <w:tc>
          <w:tcPr>
            <w:tcW w:type="dxa" w:w="3006"/>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&gt; 30% av registrerte brukere</w:t>
            </w:r>
          </w:p>
        </w:tc>
        <w:tc>
          <w:tcPr>
            <w:tcW w:type="dxa" w:w="3007"/>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Supabase analytics</w:t>
            </w:r>
          </w:p>
        </w:tc>
      </w:tr>
      <w:tr>
        <w:tc>
          <w:tcPr>
            <w:tcW w:type="dxa" w:w="3013"/>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Brukertilfredhet</w:t>
            </w:r>
          </w:p>
        </w:tc>
        <w:tc>
          <w:tcPr>
            <w:tcW w:type="dxa" w:w="3006"/>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NPS &gt; 40</w:t>
            </w:r>
          </w:p>
        </w:tc>
        <w:tc>
          <w:tcPr>
            <w:tcW w:type="dxa" w:w="3007"/>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In-app survey etter 3. brief</w:t>
            </w:r>
          </w:p>
        </w:tc>
      </w:tr>
      <w:tr>
        <w:tc>
          <w:tcPr>
            <w:tcW w:type="dxa" w:w="3013"/>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b/>
                <w:bCs/>
                <w:color w:val="1A1A2E"/>
                <w:sz w:val="20"/>
                <w:szCs w:val="20"/>
              </w:rPr>
              <w:t xml:space="preserve">Kvalitet (kildekontroll)</w:t>
            </w:r>
          </w:p>
        </w:tc>
        <w:tc>
          <w:tcPr>
            <w:tcW w:type="dxa" w:w="3006"/>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&gt; 90% av fakta sporbare til kilde</w:t>
            </w:r>
          </w:p>
        </w:tc>
        <w:tc>
          <w:tcPr>
            <w:tcW w:type="dxa" w:w="3007"/>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Manuell stikkprøve (n=50)</w:t>
            </w:r>
          </w:p>
        </w:tc>
      </w:tr>
      <w:tr>
        <w:tc>
          <w:tcPr>
            <w:tcW w:type="dxa" w:w="3013"/>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Responstid</w:t>
            </w:r>
          </w:p>
        </w:tc>
        <w:tc>
          <w:tcPr>
            <w:tcW w:type="dxa" w:w="3006"/>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&lt; 30 sekunder per brief</w:t>
            </w:r>
          </w:p>
        </w:tc>
        <w:tc>
          <w:tcPr>
            <w:tcW w:type="dxa" w:w="3007"/>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Server-side logging</w:t>
            </w:r>
          </w:p>
        </w:tc>
      </w:tr>
    </w:tbl>
    <w:p>
      <w:pPr>
        <w:spacing w:after="120"/>
      </w:pPr>
    </w:p>
    <w:p>
      <w:pPr>
        <w:pStyle w:val="Heading2"/>
        <w:spacing w:before="280" w:after="160"/>
      </w:pPr>
      <w:r>
        <w:t xml:space="preserve">5.3 Tidsestimat for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413"/>
        <w:gridCol w:w="4413"/>
      </w:tblGrid>
      <w:tr>
        <w:tc>
          <w:tcPr>
            <w:tcW w:type="dxa" w:w="12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Uke</w:t>
            </w:r>
          </w:p>
        </w:tc>
        <w:tc>
          <w:tcPr>
            <w:tcW w:type="dxa" w:w="3413"/>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Milepæl</w:t>
            </w:r>
          </w:p>
        </w:tc>
        <w:tc>
          <w:tcPr>
            <w:tcW w:type="dxa" w:w="4413"/>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Leveranser</w:t>
            </w:r>
          </w:p>
        </w:tc>
      </w:tr>
      <w:tr>
        <w:tc>
          <w:tcPr>
            <w:tcW w:type="dxa" w:w="1200"/>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b/>
                <w:bCs/>
                <w:color w:val="1A1A2E"/>
                <w:sz w:val="20"/>
                <w:szCs w:val="20"/>
              </w:rPr>
              <w:t xml:space="preserve">1–2</w:t>
            </w:r>
          </w:p>
        </w:tc>
        <w:tc>
          <w:tcPr>
            <w:tcW w:type="dxa" w:w="3413"/>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Datainnhenting og RAG</w:t>
            </w:r>
          </w:p>
        </w:tc>
        <w:tc>
          <w:tcPr>
            <w:tcW w:type="dxa" w:w="4413"/>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Scraping-pipeline, chunking, vektorindeksering, SNL API-integrasjon</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3–4</w:t>
            </w:r>
          </w:p>
        </w:tc>
        <w:tc>
          <w:tcPr>
            <w:tcW w:type="dxa" w:w="3413"/>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Backend og AI-pipeline</w:t>
            </w:r>
          </w:p>
        </w:tc>
        <w:tc>
          <w:tcPr>
            <w:tcW w:type="dxa" w:w="4413"/>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FastAPI, systemprompt, RAG-integrasjon, brief-generering</w:t>
            </w:r>
          </w:p>
        </w:tc>
      </w:tr>
      <w:tr>
        <w:tc>
          <w:tcPr>
            <w:tcW w:type="dxa" w:w="1200"/>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b/>
                <w:bCs/>
                <w:color w:val="1A1A2E"/>
                <w:sz w:val="20"/>
                <w:szCs w:val="20"/>
              </w:rPr>
              <w:t xml:space="preserve">5–6</w:t>
            </w:r>
          </w:p>
        </w:tc>
        <w:tc>
          <w:tcPr>
            <w:tcW w:type="dxa" w:w="3413"/>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Frontend og auth</w:t>
            </w:r>
          </w:p>
        </w:tc>
        <w:tc>
          <w:tcPr>
            <w:tcW w:type="dxa" w:w="4413"/>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Next.js UI, input-skjema, brief-visning, Supabase Auth</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7–8</w:t>
            </w:r>
          </w:p>
        </w:tc>
        <w:tc>
          <w:tcPr>
            <w:tcW w:type="dxa" w:w="3413"/>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Integrasjon og testing</w:t>
            </w:r>
          </w:p>
        </w:tc>
        <w:tc>
          <w:tcPr>
            <w:tcW w:type="dxa" w:w="4413"/>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End-to-end testing, 5–10 lærere i pilot, iterering</w:t>
            </w:r>
          </w:p>
        </w:tc>
      </w:tr>
    </w:tbl>
    <w:p>
      <w:pPr>
        <w:spacing w:after="120"/>
      </w:pPr>
    </w:p>
    <w:p>
      <w:r>
        <w:br w:type="page"/>
      </w:r>
    </w:p>
    <w:p>
      <w:pPr>
        <w:pStyle w:val="Heading1"/>
        <w:spacing w:before="360" w:after="200"/>
      </w:pPr>
      <w:r>
        <w:t xml:space="preserve">6. Forretningsmodell</w:t>
      </w:r>
    </w:p>
    <w:p>
      <w:pPr>
        <w:pStyle w:val="Heading2"/>
        <w:spacing w:before="280" w:after="160"/>
      </w:pPr>
      <w:r>
        <w:t xml:space="preserve">6.1 Prismodell</w:t>
      </w:r>
    </w:p>
    <w:p>
      <w:pPr>
        <w:spacing w:after="120" w:line="276"/>
      </w:pPr>
      <w:r>
        <w:rPr>
          <w:rFonts w:ascii="Arial" w:cs="Arial" w:eastAsia="Arial" w:hAnsi="Arial"/>
          <w:color w:val="1A1A2E"/>
          <w:sz w:val="22"/>
          <w:szCs w:val="22"/>
        </w:rPr>
        <w:t xml:space="preserve">Basert på analyse av norske læreres betalingsvilje og konkurrentlandskapet anbefales en modell med gratis prøveperiode etterfulgt av et lavt abonnement, fremfor freemium.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42"/>
        <w:gridCol w:w="2342"/>
        <w:gridCol w:w="2342"/>
      </w:tblGrid>
      <w:tr>
        <w:tc>
          <w:tcPr>
            <w:tcW w:type="dxa" w:w="20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2342"/>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Prøve (14 dager)</w:t>
            </w:r>
          </w:p>
        </w:tc>
        <w:tc>
          <w:tcPr>
            <w:tcW w:type="dxa" w:w="2342"/>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 («Fregatten»)</w:t>
            </w:r>
          </w:p>
        </w:tc>
        <w:tc>
          <w:tcPr>
            <w:tcW w:type="dxa" w:w="2342"/>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Skole («Rederiet»)</w:t>
            </w:r>
          </w:p>
        </w:tc>
      </w:tr>
      <w:tr>
        <w:tc>
          <w:tcPr>
            <w:tcW w:type="dxa" w:w="2000"/>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b/>
                <w:bCs/>
                <w:color w:val="1A1A2E"/>
                <w:sz w:val="20"/>
                <w:szCs w:val="20"/>
              </w:rPr>
              <w:t xml:space="preserve">Pris</w:t>
            </w:r>
          </w:p>
        </w:tc>
        <w:tc>
          <w:tcPr>
            <w:tcW w:type="dxa" w:w="2342"/>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Gratis</w:t>
            </w:r>
          </w:p>
        </w:tc>
        <w:tc>
          <w:tcPr>
            <w:tcW w:type="dxa" w:w="2342"/>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99 kr/mnd</w:t>
            </w:r>
          </w:p>
        </w:tc>
        <w:tc>
          <w:tcPr>
            <w:tcW w:type="dxa" w:w="2342"/>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Fra 499 kr/mnd per 10 lisenser</w:t>
            </w:r>
          </w:p>
        </w:tc>
      </w:tr>
      <w:tr>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Briefer</w:t>
            </w:r>
          </w:p>
        </w:tc>
        <w:tc>
          <w:tcPr>
            <w:tcW w:type="dxa" w:w="2342"/>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 totalt</w:t>
            </w:r>
          </w:p>
        </w:tc>
        <w:tc>
          <w:tcPr>
            <w:tcW w:type="dxa" w:w="2342"/>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Ubegrenset</w:t>
            </w:r>
          </w:p>
        </w:tc>
        <w:tc>
          <w:tcPr>
            <w:tcW w:type="dxa" w:w="2342"/>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Ubegrenset</w:t>
            </w:r>
          </w:p>
        </w:tc>
      </w:tr>
      <w:tr>
        <w:tc>
          <w:tcPr>
            <w:tcW w:type="dxa" w:w="2000"/>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b/>
                <w:bCs/>
                <w:color w:val="1A1A2E"/>
                <w:sz w:val="20"/>
                <w:szCs w:val="20"/>
              </w:rPr>
              <w:t xml:space="preserve">Alle seksjoner</w:t>
            </w:r>
          </w:p>
        </w:tc>
        <w:tc>
          <w:tcPr>
            <w:tcW w:type="dxa" w:w="2342"/>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Ja</w:t>
            </w:r>
          </w:p>
        </w:tc>
        <w:tc>
          <w:tcPr>
            <w:tcW w:type="dxa" w:w="2342"/>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Ja</w:t>
            </w:r>
          </w:p>
        </w:tc>
        <w:tc>
          <w:tcPr>
            <w:tcW w:type="dxa" w:w="2342"/>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Ja</w:t>
            </w:r>
          </w:p>
        </w:tc>
      </w:tr>
      <w:tr>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PDF/Slides</w:t>
            </w:r>
          </w:p>
        </w:tc>
        <w:tc>
          <w:tcPr>
            <w:tcW w:type="dxa" w:w="2342"/>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Nei</w:t>
            </w:r>
          </w:p>
        </w:tc>
        <w:tc>
          <w:tcPr>
            <w:tcW w:type="dxa" w:w="2342"/>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Ja</w:t>
            </w:r>
          </w:p>
        </w:tc>
        <w:tc>
          <w:tcPr>
            <w:tcW w:type="dxa" w:w="2342"/>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Ja</w:t>
            </w:r>
          </w:p>
        </w:tc>
      </w:tr>
      <w:tr>
        <w:tc>
          <w:tcPr>
            <w:tcW w:type="dxa" w:w="2000"/>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b/>
                <w:bCs/>
                <w:color w:val="1A1A2E"/>
                <w:sz w:val="20"/>
                <w:szCs w:val="20"/>
              </w:rPr>
              <w:t xml:space="preserve">Historikk</w:t>
            </w:r>
          </w:p>
        </w:tc>
        <w:tc>
          <w:tcPr>
            <w:tcW w:type="dxa" w:w="2342"/>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Nei</w:t>
            </w:r>
          </w:p>
        </w:tc>
        <w:tc>
          <w:tcPr>
            <w:tcW w:type="dxa" w:w="2342"/>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Ja</w:t>
            </w:r>
          </w:p>
        </w:tc>
        <w:tc>
          <w:tcPr>
            <w:tcW w:type="dxa" w:w="2342"/>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Ja + deling</w:t>
            </w:r>
          </w:p>
        </w:tc>
      </w:tr>
      <w:tr>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Admin/statistikk</w:t>
            </w:r>
          </w:p>
        </w:tc>
        <w:tc>
          <w:tcPr>
            <w:tcW w:type="dxa" w:w="2342"/>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Nei</w:t>
            </w:r>
          </w:p>
        </w:tc>
        <w:tc>
          <w:tcPr>
            <w:tcW w:type="dxa" w:w="2342"/>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Nei</w:t>
            </w:r>
          </w:p>
        </w:tc>
        <w:tc>
          <w:tcPr>
            <w:tcW w:type="dxa" w:w="2342"/>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Ja</w:t>
            </w:r>
          </w:p>
        </w:tc>
      </w:tr>
      <w:tr>
        <w:tc>
          <w:tcPr>
            <w:tcW w:type="dxa" w:w="2000"/>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b/>
                <w:bCs/>
                <w:color w:val="1A1A2E"/>
                <w:sz w:val="20"/>
                <w:szCs w:val="20"/>
              </w:rPr>
              <w:t xml:space="preserve">Feide SSO</w:t>
            </w:r>
          </w:p>
        </w:tc>
        <w:tc>
          <w:tcPr>
            <w:tcW w:type="dxa" w:w="2342"/>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Nei</w:t>
            </w:r>
          </w:p>
        </w:tc>
        <w:tc>
          <w:tcPr>
            <w:tcW w:type="dxa" w:w="2342"/>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Nei</w:t>
            </w:r>
          </w:p>
        </w:tc>
        <w:tc>
          <w:tcPr>
            <w:tcW w:type="dxa" w:w="2342"/>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Ja</w:t>
            </w:r>
          </w:p>
        </w:tc>
      </w:tr>
      <w:tr>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GDPR/DPA</w:t>
            </w:r>
          </w:p>
        </w:tc>
        <w:tc>
          <w:tcPr>
            <w:tcW w:type="dxa" w:w="2342"/>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Standard</w:t>
            </w:r>
          </w:p>
        </w:tc>
        <w:tc>
          <w:tcPr>
            <w:tcW w:type="dxa" w:w="2342"/>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Standard</w:t>
            </w:r>
          </w:p>
        </w:tc>
        <w:tc>
          <w:tcPr>
            <w:tcW w:type="dxa" w:w="2342"/>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Fullstendig DPA</w:t>
            </w:r>
          </w:p>
        </w:tc>
      </w:tr>
    </w:tbl>
    <w:p>
      <w:pPr>
        <w:spacing w:after="120"/>
      </w:pPr>
    </w:p>
    <w:p>
      <w:pPr>
        <w:pStyle w:val="Heading2"/>
        <w:spacing w:before="280" w:after="160"/>
      </w:pPr>
      <w:r>
        <w:t xml:space="preserve">6.2 Kostnadskalkyle per brief</w:t>
      </w:r>
    </w:p>
    <w:p>
      <w:pPr>
        <w:spacing w:after="120" w:line="276"/>
      </w:pPr>
      <w:r>
        <w:rPr>
          <w:rFonts w:ascii="Arial" w:cs="Arial" w:eastAsia="Arial" w:hAnsi="Arial"/>
          <w:color w:val="1A1A2E"/>
          <w:sz w:val="22"/>
          <w:szCs w:val="22"/>
        </w:rPr>
        <w:t xml:space="preserve">For å sikre lønnsomhet må kostnaden per brief holdes lav: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13"/>
        <w:gridCol w:w="2756"/>
        <w:gridCol w:w="2757"/>
      </w:tblGrid>
      <w:tr>
        <w:tc>
          <w:tcPr>
            <w:tcW w:type="dxa" w:w="3513"/>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Komponent</w:t>
            </w:r>
          </w:p>
        </w:tc>
        <w:tc>
          <w:tcPr>
            <w:tcW w:type="dxa" w:w="2756"/>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 (MVP)</w:t>
            </w:r>
          </w:p>
        </w:tc>
        <w:tc>
          <w:tcPr>
            <w:tcW w:type="dxa" w:w="2757"/>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 (Skalert)</w:t>
            </w:r>
          </w:p>
        </w:tc>
      </w:tr>
      <w:tr>
        <w:tc>
          <w:tcPr>
            <w:tcW w:type="dxa" w:w="3513"/>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b/>
                <w:bCs/>
                <w:color w:val="1A1A2E"/>
                <w:sz w:val="20"/>
                <w:szCs w:val="20"/>
              </w:rPr>
              <w:t xml:space="preserve">LLM-tokens (input + output)</w:t>
            </w:r>
          </w:p>
        </w:tc>
        <w:tc>
          <w:tcPr>
            <w:tcW w:type="dxa" w:w="2756"/>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~0,30 kr</w:t>
            </w:r>
          </w:p>
        </w:tc>
        <w:tc>
          <w:tcPr>
            <w:tcW w:type="dxa" w:w="2757"/>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~0,80 kr (multi-agent)</w:t>
            </w:r>
          </w:p>
        </w:tc>
      </w:tr>
      <w:tr>
        <w:tc>
          <w:tcPr>
            <w:tcW w:type="dxa" w:w="3513"/>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Embedding/søk</w:t>
            </w:r>
          </w:p>
        </w:tc>
        <w:tc>
          <w:tcPr>
            <w:tcW w:type="dxa" w:w="2756"/>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~0,01 kr</w:t>
            </w:r>
          </w:p>
        </w:tc>
        <w:tc>
          <w:tcPr>
            <w:tcW w:type="dxa" w:w="2757"/>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~0,02 kr</w:t>
            </w:r>
          </w:p>
        </w:tc>
      </w:tr>
      <w:tr>
        <w:tc>
          <w:tcPr>
            <w:tcW w:type="dxa" w:w="3513"/>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b/>
                <w:bCs/>
                <w:color w:val="1A1A2E"/>
                <w:sz w:val="20"/>
                <w:szCs w:val="20"/>
              </w:rPr>
              <w:t xml:space="preserve">Infrastruktur (amortisert)</w:t>
            </w:r>
          </w:p>
        </w:tc>
        <w:tc>
          <w:tcPr>
            <w:tcW w:type="dxa" w:w="2756"/>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~0,05 kr</w:t>
            </w:r>
          </w:p>
        </w:tc>
        <w:tc>
          <w:tcPr>
            <w:tcW w:type="dxa" w:w="2757"/>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~0,03 kr</w:t>
            </w:r>
          </w:p>
        </w:tc>
      </w:tr>
      <w:tr>
        <w:tc>
          <w:tcPr>
            <w:tcW w:type="dxa" w:w="3513"/>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Totalt per brief</w:t>
            </w:r>
          </w:p>
        </w:tc>
        <w:tc>
          <w:tcPr>
            <w:tcW w:type="dxa" w:w="2756"/>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~0,36 kr</w:t>
            </w:r>
          </w:p>
        </w:tc>
        <w:tc>
          <w:tcPr>
            <w:tcW w:type="dxa" w:w="2757"/>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~0,85 kr</w:t>
            </w:r>
          </w:p>
        </w:tc>
      </w:tr>
    </w:tbl>
    <w:p>
      <w:pPr>
        <w:spacing w:after="120"/>
      </w:pPr>
    </w:p>
    <w:p>
      <w:pPr>
        <w:spacing w:after="120" w:line="276"/>
      </w:pPr>
      <w:r>
        <w:rPr>
          <w:rFonts w:ascii="Arial" w:cs="Arial" w:eastAsia="Arial" w:hAnsi="Arial"/>
          <w:color w:val="1A1A2E"/>
          <w:sz w:val="22"/>
          <w:szCs w:val="22"/>
        </w:rPr>
        <w:t xml:space="preserve">Med Pro-abonnement på 99 kr/mnd og gjennomsnittlig 20 briefer per bruker per måned, gir dette en kostnad på ~7–17 kr per bruker per måned — godt innenfor margin.</w:t>
      </w:r>
    </w:p>
    <w:p>
      <w:pPr>
        <w:pStyle w:val="Heading2"/>
        <w:spacing w:before="280" w:after="160"/>
      </w:pPr>
      <w:r>
        <w:t xml:space="preserve">6.3 Go-to-market-strategi</w:t>
      </w:r>
    </w:p>
    <w:p>
      <w:pPr>
        <w:spacing w:after="120" w:line="276"/>
      </w:pPr>
      <w:r>
        <w:rPr>
          <w:rFonts w:ascii="Arial" w:cs="Arial" w:eastAsia="Arial" w:hAnsi="Arial"/>
          <w:b/>
          <w:bCs/>
          <w:color w:val="1A1A2E"/>
          <w:sz w:val="22"/>
          <w:szCs w:val="22"/>
        </w:rPr>
        <w:t xml:space="preserve">Fase 1 (Måned 1–3): </w:t>
      </w:r>
      <w:r>
        <w:rPr>
          <w:rFonts w:ascii="Arial" w:cs="Arial" w:eastAsia="Arial" w:hAnsi="Arial"/>
          <w:color w:val="1A1A2E"/>
          <w:sz w:val="22"/>
          <w:szCs w:val="22"/>
        </w:rPr>
        <w:t xml:space="preserve">Lukket pilot med 5–10 lærere fra eget nettverk. Fokus på kvalitet, iterering basert på tilbakemeldinger, og innsamling av testimonials.</w:t>
      </w:r>
    </w:p>
    <w:p>
      <w:pPr>
        <w:spacing w:after="120" w:line="276"/>
      </w:pPr>
      <w:r>
        <w:rPr>
          <w:rFonts w:ascii="Arial" w:cs="Arial" w:eastAsia="Arial" w:hAnsi="Arial"/>
          <w:b/>
          <w:bCs/>
          <w:color w:val="1A1A2E"/>
          <w:sz w:val="22"/>
          <w:szCs w:val="22"/>
        </w:rPr>
        <w:t xml:space="preserve">Fase 2 (Måned 3–6): </w:t>
      </w:r>
      <w:r>
        <w:rPr>
          <w:rFonts w:ascii="Arial" w:cs="Arial" w:eastAsia="Arial" w:hAnsi="Arial"/>
          <w:color w:val="1A1A2E"/>
          <w:sz w:val="22"/>
          <w:szCs w:val="22"/>
        </w:rPr>
        <w:t xml:space="preserve">Åpen lansering med gratis prøveperiode. Markedsføring via lærer-Facebook-grupper, utdanningspodcaster, og fagforeningsmedia (Utdanning, Utdanningsnytt).</w:t>
      </w:r>
    </w:p>
    <w:p>
      <w:pPr>
        <w:spacing w:after="120" w:line="276"/>
      </w:pPr>
      <w:r>
        <w:rPr>
          <w:rFonts w:ascii="Arial" w:cs="Arial" w:eastAsia="Arial" w:hAnsi="Arial"/>
          <w:b/>
          <w:bCs/>
          <w:color w:val="1A1A2E"/>
          <w:sz w:val="22"/>
          <w:szCs w:val="22"/>
        </w:rPr>
        <w:t xml:space="preserve">Fase 3 (Måned 6–12): </w:t>
      </w:r>
      <w:r>
        <w:rPr>
          <w:rFonts w:ascii="Arial" w:cs="Arial" w:eastAsia="Arial" w:hAnsi="Arial"/>
          <w:color w:val="1A1A2E"/>
          <w:sz w:val="22"/>
          <w:szCs w:val="22"/>
        </w:rPr>
        <w:t xml:space="preserve">Målrettet salg mot kommuner og fylkeskommuner. Én pilotkommune som referansecase. Feide-integrasjon og DPA for å møte offentlig sektors krav.</w:t>
      </w:r>
    </w:p>
    <w:p>
      <w:r>
        <w:br w:type="page"/>
      </w:r>
    </w:p>
    <w:p>
      <w:pPr>
        <w:pStyle w:val="Heading1"/>
        <w:spacing w:before="360" w:after="200"/>
      </w:pPr>
      <w:r>
        <w:t xml:space="preserve">7. Produktveikart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8"/>
        <w:gridCol w:w="2410"/>
        <w:gridCol w:w="2408"/>
      </w:tblGrid>
      <w:tr>
        <w:tc>
          <w:tcPr>
            <w:tcW w:type="dxa" w:w="18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Fase</w:t>
            </w:r>
          </w:p>
        </w:tc>
        <w:tc>
          <w:tcPr>
            <w:tcW w:type="dxa" w:w="2408"/>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Tidsramme</w:t>
            </w:r>
          </w:p>
        </w:tc>
        <w:tc>
          <w:tcPr>
            <w:tcW w:type="dxa" w:w="241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Funksjoner</w:t>
            </w:r>
          </w:p>
        </w:tc>
        <w:tc>
          <w:tcPr>
            <w:tcW w:type="dxa" w:w="2408"/>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Mål</w:t>
            </w:r>
          </w:p>
        </w:tc>
      </w:tr>
      <w:tr>
        <w:tc>
          <w:tcPr>
            <w:tcW w:type="dxa" w:w="1800"/>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b/>
                <w:bCs/>
                <w:color w:val="1A1A2E"/>
                <w:sz w:val="20"/>
                <w:szCs w:val="20"/>
              </w:rPr>
              <w:t xml:space="preserve">MVP</w:t>
            </w:r>
          </w:p>
        </w:tc>
        <w:tc>
          <w:tcPr>
            <w:tcW w:type="dxa" w:w="2408"/>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Måned 1–2</w:t>
            </w:r>
          </w:p>
        </w:tc>
        <w:tc>
          <w:tcPr>
            <w:tcW w:type="dxa" w:w="2410"/>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Kjerne-brief, RAG, desktop-UI, enkel auth</w:t>
            </w:r>
          </w:p>
        </w:tc>
        <w:tc>
          <w:tcPr>
            <w:tcW w:type="dxa" w:w="2408"/>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Bevis verdi med 10 pilotbrukere</w:t>
            </w:r>
          </w:p>
        </w:tc>
      </w:tr>
      <w:tr>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V1.0</w:t>
            </w:r>
          </w:p>
        </w:tc>
        <w:tc>
          <w:tcPr>
            <w:tcW w:type="dxa" w:w="2408"/>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Måned 3–5</w:t>
            </w:r>
          </w:p>
        </w:tc>
        <w:tc>
          <w:tcPr>
            <w:tcW w:type="dxa" w:w="241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PDF-eksport, historikk, betalingsintegrasjon (Stripe), «Grav dypere»</w:t>
            </w:r>
          </w:p>
        </w:tc>
        <w:tc>
          <w:tcPr>
            <w:tcW w:type="dxa" w:w="2408"/>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100 betalende brukere</w:t>
            </w:r>
          </w:p>
        </w:tc>
      </w:tr>
      <w:tr>
        <w:tc>
          <w:tcPr>
            <w:tcW w:type="dxa" w:w="1800"/>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b/>
                <w:bCs/>
                <w:color w:val="1A1A2E"/>
                <w:sz w:val="20"/>
                <w:szCs w:val="20"/>
              </w:rPr>
              <w:t xml:space="preserve">V1.5</w:t>
            </w:r>
          </w:p>
        </w:tc>
        <w:tc>
          <w:tcPr>
            <w:tcW w:type="dxa" w:w="2408"/>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Måned 6–9</w:t>
            </w:r>
          </w:p>
        </w:tc>
        <w:tc>
          <w:tcPr>
            <w:tcW w:type="dxa" w:w="2410"/>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Mobil flashcards, Feide SSO, skolelisens, deling</w:t>
            </w:r>
          </w:p>
        </w:tc>
        <w:tc>
          <w:tcPr>
            <w:tcW w:type="dxa" w:w="2408"/>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Første pilotkommune</w:t>
            </w:r>
          </w:p>
        </w:tc>
      </w:tr>
      <w:tr>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V2.0</w:t>
            </w:r>
          </w:p>
        </w:tc>
        <w:tc>
          <w:tcPr>
            <w:tcW w:type="dxa" w:w="2408"/>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Måned 10–15</w:t>
            </w:r>
          </w:p>
        </w:tc>
        <w:tc>
          <w:tcPr>
            <w:tcW w:type="dxa" w:w="241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Multi-agent, slides-generering, admin-dashboard, reranking</w:t>
            </w:r>
          </w:p>
        </w:tc>
        <w:tc>
          <w:tcPr>
            <w:tcW w:type="dxa" w:w="2408"/>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1000+ brukere, positiv unit economics</w:t>
            </w:r>
          </w:p>
        </w:tc>
      </w:tr>
      <w:tr>
        <w:tc>
          <w:tcPr>
            <w:tcW w:type="dxa" w:w="1800"/>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b/>
                <w:bCs/>
                <w:color w:val="1A1A2E"/>
                <w:sz w:val="20"/>
                <w:szCs w:val="20"/>
              </w:rPr>
              <w:t xml:space="preserve">Visjon</w:t>
            </w:r>
          </w:p>
        </w:tc>
        <w:tc>
          <w:tcPr>
            <w:tcW w:type="dxa" w:w="2408"/>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12+ måneder</w:t>
            </w:r>
          </w:p>
        </w:tc>
        <w:tc>
          <w:tcPr>
            <w:tcW w:type="dxa" w:w="2410"/>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Lydoppsummering, quiz-generering, elev-tilpassede ressurser</w:t>
            </w:r>
          </w:p>
        </w:tc>
        <w:tc>
          <w:tcPr>
            <w:tcW w:type="dxa" w:w="2408"/>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Nordisk ekspansjon</w:t>
            </w:r>
          </w:p>
        </w:tc>
      </w:tr>
    </w:tbl>
    <w:p>
      <w:pPr>
        <w:spacing w:after="120"/>
      </w:pPr>
    </w:p>
    <w:p>
      <w:pPr>
        <w:pStyle w:val="Heading1"/>
        <w:spacing w:before="360" w:after="200"/>
      </w:pPr>
      <w:r>
        <w:t xml:space="preserve">8. Risikoanalyse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426"/>
      </w:tblGrid>
      <w:tr>
        <w:tc>
          <w:tcPr>
            <w:tcW w:type="dxa" w:w="22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Risiko</w:t>
            </w:r>
          </w:p>
        </w:tc>
        <w:tc>
          <w:tcPr>
            <w:tcW w:type="dxa" w:w="12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Sanns.</w:t>
            </w:r>
          </w:p>
        </w:tc>
        <w:tc>
          <w:tcPr>
            <w:tcW w:type="dxa" w:w="12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Konsekvens</w:t>
            </w:r>
          </w:p>
        </w:tc>
        <w:tc>
          <w:tcPr>
            <w:tcW w:type="dxa" w:w="4426"/>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Mitigering</w:t>
            </w:r>
          </w:p>
        </w:tc>
      </w:tr>
      <w:tr>
        <w:tc>
          <w:tcPr>
            <w:tcW w:type="dxa" w:w="2200"/>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b/>
                <w:bCs/>
                <w:color w:val="1A1A2E"/>
                <w:sz w:val="20"/>
                <w:szCs w:val="20"/>
              </w:rPr>
              <w:t xml:space="preserve">LLM-hallusinering</w:t>
            </w:r>
          </w:p>
        </w:tc>
        <w:tc>
          <w:tcPr>
            <w:tcW w:type="dxa" w:w="1200"/>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1200"/>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Høy</w:t>
            </w:r>
          </w:p>
        </w:tc>
        <w:tc>
          <w:tcPr>
            <w:tcW w:type="dxa" w:w="4426"/>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RAG med kildesjekk. Revisoren som siste kvalitetskontroll. Tydelig kildemerking så lærer kan verifisere.</w:t>
            </w:r>
          </w:p>
        </w:tc>
      </w:tr>
      <w:tr>
        <w:tc>
          <w:tcPr>
            <w:tcW w:type="dxa" w:w="2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Kildetilgang blokkeres</w:t>
            </w:r>
          </w:p>
        </w:tc>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Lav</w:t>
            </w:r>
          </w:p>
        </w:tc>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Høy</w:t>
            </w:r>
          </w:p>
        </w:tc>
        <w:tc>
          <w:tcPr>
            <w:tcW w:type="dxa" w:w="4426"/>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Tidlig dialog med SNL/NDLA om API-avtaler. Lokal kopi av indeksert innhold. Diversifiser kildebase.</w:t>
            </w:r>
          </w:p>
        </w:tc>
      </w:tr>
      <w:tr>
        <w:tc>
          <w:tcPr>
            <w:tcW w:type="dxa" w:w="2200"/>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b/>
                <w:bCs/>
                <w:color w:val="1A1A2E"/>
                <w:sz w:val="20"/>
                <w:szCs w:val="20"/>
              </w:rPr>
              <w:t xml:space="preserve">Lav betalingsvilje</w:t>
            </w:r>
          </w:p>
        </w:tc>
        <w:tc>
          <w:tcPr>
            <w:tcW w:type="dxa" w:w="1200"/>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1200"/>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4426"/>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Lav pris (99 kr). Skolelisens som primær inntektskilde. Demonstrer tydelig tidsbesparelse.</w:t>
            </w:r>
          </w:p>
        </w:tc>
      </w:tr>
      <w:tr>
        <w:tc>
          <w:tcPr>
            <w:tcW w:type="dxa" w:w="2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Konkurranse (ChatGPT etc.)</w:t>
            </w:r>
          </w:p>
        </w:tc>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Høy</w:t>
            </w:r>
          </w:p>
        </w:tc>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4426"/>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Differensiering via norsk læreplan, kildebelagte svar, og spesialisert UX. Generelle chatboter kan ikke matche vertikal kvalitet.</w:t>
            </w:r>
          </w:p>
        </w:tc>
      </w:tr>
      <w:tr>
        <w:tc>
          <w:tcPr>
            <w:tcW w:type="dxa" w:w="2200"/>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b/>
                <w:bCs/>
                <w:color w:val="1A1A2E"/>
                <w:sz w:val="20"/>
                <w:szCs w:val="20"/>
              </w:rPr>
              <w:t xml:space="preserve">GDPR/personvern</w:t>
            </w:r>
          </w:p>
        </w:tc>
        <w:tc>
          <w:tcPr>
            <w:tcW w:type="dxa" w:w="1200"/>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Lav</w:t>
            </w:r>
          </w:p>
        </w:tc>
        <w:tc>
          <w:tcPr>
            <w:tcW w:type="dxa" w:w="1200"/>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Høy</w:t>
            </w:r>
          </w:p>
        </w:tc>
        <w:tc>
          <w:tcPr>
            <w:tcW w:type="dxa" w:w="4426"/>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EU-hosting, ingen persondata i LLM-kall, DPA for skoler, Feide for sikker autentisering.</w:t>
            </w:r>
          </w:p>
        </w:tc>
      </w:tr>
      <w:tr>
        <w:tc>
          <w:tcPr>
            <w:tcW w:type="dxa" w:w="2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Kostnadseskalering (tokens)</w:t>
            </w:r>
          </w:p>
        </w:tc>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4426"/>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Aggressiv caching. Billigere modeller for enkle oppgaver. Prompt-optimalisering. Monitorering av kostnad per brief.</w:t>
            </w:r>
          </w:p>
        </w:tc>
      </w:tr>
    </w:tbl>
    <w:p>
      <w:pPr>
        <w:spacing w:after="120"/>
      </w:pPr>
    </w:p>
    <w:p>
      <w:pPr>
        <w:pStyle w:val="Heading1"/>
        <w:spacing w:before="360" w:after="200"/>
      </w:pPr>
      <w:r>
        <w:t xml:space="preserve">9. Konkurranseanalyse</w:t>
      </w:r>
    </w:p>
    <w:p>
      <w:pPr>
        <w:spacing w:after="120" w:line="276"/>
      </w:pPr>
      <w:r>
        <w:rPr>
          <w:rFonts w:ascii="Arial" w:cs="Arial" w:eastAsia="Arial" w:hAnsi="Arial"/>
          <w:color w:val="1A1A2E"/>
          <w:sz w:val="22"/>
          <w:szCs w:val="22"/>
        </w:rPr>
        <w:t xml:space="preserve">Prepp.ai opererer i krysningen mellom generelle AI-verktøy og spesialiserte utdanningsplattformer. Nedenfor er de viktigste konkurrentene og Prepp.ais differensiering: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6"/>
        <w:gridCol w:w="1806"/>
        <w:gridCol w:w="1807"/>
        <w:gridCol w:w="1807"/>
      </w:tblGrid>
      <w:tr>
        <w:tc>
          <w:tcPr>
            <w:tcW w:type="dxa" w:w="18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Konkurrent</w:t>
            </w:r>
          </w:p>
        </w:tc>
        <w:tc>
          <w:tcPr>
            <w:tcW w:type="dxa" w:w="1806"/>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LK20-kobling</w:t>
            </w:r>
          </w:p>
        </w:tc>
        <w:tc>
          <w:tcPr>
            <w:tcW w:type="dxa" w:w="1806"/>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Kildebelagt</w:t>
            </w:r>
          </w:p>
        </w:tc>
        <w:tc>
          <w:tcPr>
            <w:tcW w:type="dxa" w:w="1807"/>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Lærerfokus</w:t>
            </w:r>
          </w:p>
        </w:tc>
        <w:tc>
          <w:tcPr>
            <w:tcW w:type="dxa" w:w="1807"/>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Norsk</w:t>
            </w:r>
          </w:p>
        </w:tc>
      </w:tr>
      <w:tr>
        <w:tc>
          <w:tcPr>
            <w:tcW w:type="dxa" w:w="1800"/>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b/>
                <w:bCs/>
                <w:color w:val="1A1A2E"/>
                <w:sz w:val="20"/>
                <w:szCs w:val="20"/>
              </w:rPr>
              <w:t xml:space="preserve">ChatGPT/Claude</w:t>
            </w:r>
          </w:p>
        </w:tc>
        <w:tc>
          <w:tcPr>
            <w:tcW w:type="dxa" w:w="1806"/>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Nei</w:t>
            </w:r>
          </w:p>
        </w:tc>
        <w:tc>
          <w:tcPr>
            <w:tcW w:type="dxa" w:w="1806"/>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Delvis</w:t>
            </w:r>
          </w:p>
        </w:tc>
        <w:tc>
          <w:tcPr>
            <w:tcW w:type="dxa" w:w="1807"/>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Nei (generelt)</w:t>
            </w:r>
          </w:p>
        </w:tc>
        <w:tc>
          <w:tcPr>
            <w:tcW w:type="dxa" w:w="1807"/>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Delvis</w:t>
            </w:r>
          </w:p>
        </w:tc>
      </w:tr>
      <w:tr>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NDLA</w:t>
            </w:r>
          </w:p>
        </w:tc>
        <w:tc>
          <w:tcPr>
            <w:tcW w:type="dxa" w:w="1806"/>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Ja</w:t>
            </w:r>
          </w:p>
        </w:tc>
        <w:tc>
          <w:tcPr>
            <w:tcW w:type="dxa" w:w="1806"/>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Ja</w:t>
            </w:r>
          </w:p>
        </w:tc>
        <w:tc>
          <w:tcPr>
            <w:tcW w:type="dxa" w:w="1807"/>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Nei (elevrettet)</w:t>
            </w:r>
          </w:p>
        </w:tc>
        <w:tc>
          <w:tcPr>
            <w:tcW w:type="dxa" w:w="1807"/>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Ja</w:t>
            </w:r>
          </w:p>
        </w:tc>
      </w:tr>
      <w:tr>
        <w:tc>
          <w:tcPr>
            <w:tcW w:type="dxa" w:w="1800"/>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b/>
                <w:bCs/>
                <w:color w:val="1A1A2E"/>
                <w:sz w:val="20"/>
                <w:szCs w:val="20"/>
              </w:rPr>
              <w:t xml:space="preserve">Khanmigo</w:t>
            </w:r>
          </w:p>
        </w:tc>
        <w:tc>
          <w:tcPr>
            <w:tcW w:type="dxa" w:w="1806"/>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Nei</w:t>
            </w:r>
          </w:p>
        </w:tc>
        <w:tc>
          <w:tcPr>
            <w:tcW w:type="dxa" w:w="1806"/>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Delvis</w:t>
            </w:r>
          </w:p>
        </w:tc>
        <w:tc>
          <w:tcPr>
            <w:tcW w:type="dxa" w:w="1807"/>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Delvis</w:t>
            </w:r>
          </w:p>
        </w:tc>
        <w:tc>
          <w:tcPr>
            <w:tcW w:type="dxa" w:w="1807"/>
            <w:tcBorders>
              <w:top w:val="single" w:color="B0C4D8" w:sz="1"/>
              <w:left w:val="single" w:color="B0C4D8" w:sz="1"/>
              <w:bottom w:val="single" w:color="B0C4D8" w:sz="1"/>
              <w:right w:val="single" w:color="B0C4D8" w:sz="1"/>
            </w:tcBorders>
            <w:shd w:fill="F0F7FA" w:val="clear"/>
            <w:tcMar>
              <w:top w:type="dxa" w:w="80"/>
              <w:left w:type="dxa" w:w="120"/>
              <w:bottom w:type="dxa" w:w="80"/>
              <w:right w:type="dxa" w:w="120"/>
            </w:tcMar>
          </w:tcPr>
          <w:p>
            <w:r>
              <w:rPr>
                <w:rFonts w:ascii="Arial" w:cs="Arial" w:eastAsia="Arial" w:hAnsi="Arial"/>
                <w:color w:val="1A1A2E"/>
                <w:sz w:val="20"/>
                <w:szCs w:val="20"/>
              </w:rPr>
              <w:t xml:space="preserve">Nei</w:t>
            </w:r>
          </w:p>
        </w:tc>
      </w:tr>
      <w:tr>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Prepp.ai</w:t>
            </w:r>
          </w:p>
        </w:tc>
        <w:tc>
          <w:tcPr>
            <w:tcW w:type="dxa" w:w="1806"/>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Ja</w:t>
            </w:r>
          </w:p>
        </w:tc>
        <w:tc>
          <w:tcPr>
            <w:tcW w:type="dxa" w:w="1806"/>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Ja</w:t>
            </w:r>
          </w:p>
        </w:tc>
        <w:tc>
          <w:tcPr>
            <w:tcW w:type="dxa" w:w="1807"/>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Ja (kjernemålgruppe)</w:t>
            </w:r>
          </w:p>
        </w:tc>
        <w:tc>
          <w:tcPr>
            <w:tcW w:type="dxa" w:w="1807"/>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Ja</w:t>
            </w:r>
          </w:p>
        </w:tc>
      </w:tr>
    </w:tbl>
    <w:p>
      <w:pPr>
        <w:spacing w:after="120"/>
      </w:pPr>
    </w:p>
    <w:p>
      <w:pPr>
        <w:pStyle w:val="Heading1"/>
        <w:spacing w:before="360" w:after="200"/>
      </w:pPr>
      <w:r>
        <w:t xml:space="preserve">10. Neste steg</w:t>
      </w:r>
    </w:p>
    <w:p>
      <w:pPr>
        <w:spacing w:after="120" w:line="276"/>
      </w:pPr>
      <w:r>
        <w:rPr>
          <w:rFonts w:ascii="Arial" w:cs="Arial" w:eastAsia="Arial" w:hAnsi="Arial"/>
          <w:color w:val="1A1A2E"/>
          <w:sz w:val="22"/>
          <w:szCs w:val="22"/>
        </w:rPr>
        <w:t xml:space="preserve">For å bringe Prepp.ai fra konsept til produkt, anbefales følgende umiddelbare aksjoner:</w:t>
      </w:r>
    </w:p>
    <w:p>
      <w:pPr>
        <w:pStyle w:val="ListParagraph"/>
        <w:numPr>
          <w:ilvl w:val="0"/>
          <w:numId w:val="6"/>
        </w:numPr>
        <w:spacing w:after="100"/>
      </w:pPr>
      <w:r>
        <w:rPr>
          <w:rFonts w:ascii="Arial" w:cs="Arial" w:eastAsia="Arial" w:hAnsi="Arial"/>
          <w:sz w:val="22"/>
          <w:szCs w:val="22"/>
        </w:rPr>
        <w:t xml:space="preserve">Valider RAG-kvaliteten: Bygg en minimal pipeline (SNL API → chunking → pgvector → LLM) og generer 10 eksempel-briefer. Test med lærere.</w:t>
      </w:r>
    </w:p>
    <w:p>
      <w:pPr>
        <w:pStyle w:val="ListParagraph"/>
        <w:numPr>
          <w:ilvl w:val="0"/>
          <w:numId w:val="6"/>
        </w:numPr>
        <w:spacing w:after="100"/>
      </w:pPr>
      <w:r>
        <w:rPr>
          <w:rFonts w:ascii="Arial" w:cs="Arial" w:eastAsia="Arial" w:hAnsi="Arial"/>
          <w:sz w:val="22"/>
          <w:szCs w:val="22"/>
        </w:rPr>
        <w:t xml:space="preserve">Rekrutter 5–10 pilotlærere: Bruk eget nettverk for å finne lærere som underviser utenfor komfortsonen. Tilby gratis tilgang i bytte mot strukturert tilbakemelding.</w:t>
      </w:r>
    </w:p>
    <w:p>
      <w:pPr>
        <w:pStyle w:val="ListParagraph"/>
        <w:numPr>
          <w:ilvl w:val="0"/>
          <w:numId w:val="6"/>
        </w:numPr>
        <w:spacing w:after="100"/>
      </w:pPr>
      <w:r>
        <w:rPr>
          <w:rFonts w:ascii="Arial" w:cs="Arial" w:eastAsia="Arial" w:hAnsi="Arial"/>
          <w:sz w:val="22"/>
          <w:szCs w:val="22"/>
        </w:rPr>
        <w:t xml:space="preserve">Kontakt SNL: Undersøk vilkårene for kommersiell bruk av API-et. Dette er kritisk for tillitsargumentet.</w:t>
      </w:r>
    </w:p>
    <w:p>
      <w:pPr>
        <w:pStyle w:val="ListParagraph"/>
        <w:numPr>
          <w:ilvl w:val="0"/>
          <w:numId w:val="6"/>
        </w:numPr>
        <w:spacing w:after="100"/>
      </w:pPr>
      <w:r>
        <w:rPr>
          <w:rFonts w:ascii="Arial" w:cs="Arial" w:eastAsia="Arial" w:hAnsi="Arial"/>
          <w:sz w:val="22"/>
          <w:szCs w:val="22"/>
        </w:rPr>
        <w:t xml:space="preserve">Bygg MVP (8 uker): Følg tidsplanen i seksjon 5.3. Prioriter backend og AI-pipeline før frontend-polish.</w:t>
      </w:r>
    </w:p>
    <w:p>
      <w:pPr>
        <w:pStyle w:val="ListParagraph"/>
        <w:numPr>
          <w:ilvl w:val="0"/>
          <w:numId w:val="6"/>
        </w:numPr>
        <w:spacing w:after="120"/>
      </w:pPr>
      <w:r>
        <w:rPr>
          <w:rFonts w:ascii="Arial" w:cs="Arial" w:eastAsia="Arial" w:hAnsi="Arial"/>
          <w:sz w:val="22"/>
          <w:szCs w:val="22"/>
        </w:rPr>
        <w:t xml:space="preserve">Etabler målbare suksesskriterier: Sett opp analytics fra dag én for å spore retention, NPS og kvalitet.</w:t>
      </w:r>
    </w:p>
    <w:p>
      <w:pPr>
        <w:spacing w:after="200"/>
      </w:pPr>
    </w:p>
    <w:p>
      <w:pPr>
        <w:pBdr>
          <w:top w:val="single" w:color="2A9D8F" w:sz="6" w:space="8"/>
        </w:pBdr>
        <w:jc w:val="center"/>
      </w:pPr>
    </w:p>
    <w:p>
      <w:pPr>
        <w:spacing w:after="100"/>
      </w:pPr>
    </w:p>
    <w:p>
      <w:pPr>
        <w:jc w:val="center"/>
      </w:pPr>
      <w:r>
        <w:rPr>
          <w:rFonts w:ascii="Arial" w:cs="Arial" w:eastAsia="Arial" w:hAnsi="Arial"/>
          <w:i/>
          <w:iCs/>
          <w:color w:val="2A9D8F"/>
          <w:sz w:val="24"/>
          <w:szCs w:val="24"/>
        </w:rPr>
        <w:t xml:space="preserve">Prepp.ai — Lærerens trygge havn i en travel hverdag.</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4D8" w:sz="2" w:space="4"/>
      </w:pBdr>
      <w:tabs>
        <w:tab w:val="right" w:pos="9026"/>
      </w:tabs>
    </w:pPr>
    <w:r>
      <w:rPr>
        <w:rFonts w:ascii="Arial" w:cs="Arial" w:eastAsia="Arial" w:hAnsi="Arial"/>
        <w:color w:val="6B7280"/>
        <w:sz w:val="16"/>
        <w:szCs w:val="16"/>
      </w:rPr>
      <w:t xml:space="preserve">Konfidensielt — Prepp.ai</w:t>
    </w:r>
    <w:r>
      <w:rPr>
        <w:rFonts w:ascii="Arial" w:cs="Arial" w:eastAsia="Arial" w:hAnsi="Arial"/>
        <w:color w:val="6B7280"/>
        <w:sz w:val="16"/>
        <w:szCs w:val="16"/>
      </w:rPr>
      <w:t xml:space="preserve">	Side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9D8F" w:sz="4" w:space="4"/>
      </w:pBdr>
    </w:pPr>
    <w:r>
      <w:rPr>
        <w:rFonts w:ascii="Arial" w:cs="Arial" w:eastAsia="Arial" w:hAnsi="Arial"/>
        <w:i/>
        <w:iCs/>
        <w:color w:val="6B7280"/>
        <w:sz w:val="18"/>
        <w:szCs w:val="18"/>
      </w:rPr>
      <w:t xml:space="preserve">Prepp.ai — Produkt- og teknisk spesifikasjon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7"/>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A9D8F"/>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2026-02-17T08:03:56.903Z</dcterms:created>
  <dcterms:modified xsi:type="dcterms:W3CDTF">2026-02-17T08:03:56.904Z</dcterms:modified>
</cp:coreProperties>
</file>

<file path=docProps/custom.xml><?xml version="1.0" encoding="utf-8"?>
<Properties xmlns="http://schemas.openxmlformats.org/officeDocument/2006/custom-properties" xmlns:vt="http://schemas.openxmlformats.org/officeDocument/2006/docPropsVTypes"/>
</file>