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Bibliography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(1)</w:t>
      </w:r>
    </w:p>
    <w:p>
      <w:pPr>
        <w:pStyle w:val="Normal"/>
        <w:pBdr/>
        <w:shd w:val="clear" w:color="FFFFFF" w:fill="FFFFFF"/>
        <w:rPr>
          <w:rStyle w:val="InternetLink"/>
          <w:rFonts w:ascii="Arial" w:hAnsi="Arial" w:eastAsia="Arial" w:cs="Arial"/>
          <w:b/>
          <w:bCs/>
          <w:sz w:val="28"/>
          <w:szCs w:val="28"/>
          <w:highlight w:val="non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Vanselow, S.; Schneising, O.; Buchwitz, M.; Reuter, M.; Bovensmann, H.; Boesch, H.; Burrows, J. P. Automated Detection of Regions with Persistently Enhanced Methane Concentrations Using Sentinel-5 Precursor Satellite Data.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Atmospheric Chemistry and Physics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2024,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24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(18), 10441–10473. </w:t>
      </w:r>
      <w:hyperlink r:id="rId2" w:tgtFrame="https://doi.org/10.5194/acp-24-10441-2024.">
        <w:r>
          <w:rPr>
            <w:rStyle w:val="Hyperlink"/>
            <w:rFonts w:eastAsia="Arial" w:cs="Arial" w:ascii="Arial" w:hAnsi="Arial"/>
            <w:b/>
            <w:bCs/>
            <w:sz w:val="28"/>
            <w:szCs w:val="28"/>
            <w:highlight w:val="white"/>
            <w:lang w:val="en-US"/>
          </w:rPr>
          <w:t>https://doi.org/10.5194/acp-24-10441-2024.</w:t>
        </w:r>
      </w:hyperlink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non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(2)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bookmarkStart w:id="0" w:name="_GoBack"/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Dean, J. F.; Middelburg, J. J.; Röckmann, T.; Aerts, R.; Blauw, L. G.; Egger, M.; Jetten, M. S. M.; de Jong, A. E. E.; Meisel, O. H.; Rasigraf, O.; Slomp, C. P.; in’t Zandt, M. H.; Dolman, A. J. Methane Feedbacks to the Global Climate System in a Warmer World.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Reviews of Geophysics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2018,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56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(1), 207–250. https://doi.org/10.1002/2017rg000559.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(3)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Nisbet, E. G. Climate Feedback on Methane from Wetlands.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Nature Climate Change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2023. https://doi.org/10.1038/s41558-023-01634-3.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(4)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Zhang, Z.; Poulter, B.; Feldman, A. F.; Ying, Q.; Ciais, P.; Peng, S.; Li, X. Recent Intensification of Wetland Methane Feedback.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Nature Climate Change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2023, 1–4. https://doi.org/10.1038/s41558-023-01629-0.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(5)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Bäck, H.; May, R.; Divya Sree Naidu; Eikenberry, S. Effect of Methane Mitigation on Global Temperature under a Permafrost Feedback.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Global Environmental Change Advances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2024,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2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, 100005–100005. https://doi.org/10.1016/j.gecadv.2024.100005.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(6)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Anatoly A. Lagutin.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Methane emission from the Western Siberia’s wetland ecosystems in 2000–2050 | Acta Biologica Sibirica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. Journal.asu.ru. http://journal.asu.ru/biol/article/view/15018/12772 (accessed 2024-10-10).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(7)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Pokrovsky, O. S.; Shirokova, L. S.; Kirpotin, S. N.; Kulizhsky, S. P.; Vorobiev, S. N. Impact of Western Siberia Heat Wave 2012 on Greenhouse Gases and Trace Metal Concentration in Thaw Lakes of Discontinuous Permafrost Zone.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Biogeosciences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2013,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10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(8), 5349–5365. https://doi.org/10.5194/bg-10-5349-2013.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(8)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Peng, S.; Lin, X.; Thompson, R. L.; Xi, Y.; Liu, G.; Hauglustaine, D.; Lan, X.; Poulter, B.; Ramonet, M.; Saunois, M.; Yin, Y.; Zhang, Z.; Zheng, B.; Ciais, P. Wetland Emission and Atmospheric Sink Changes Explain Methane Growth in 2020.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Nature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2022,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  <w:lang w:val="en-US"/>
        </w:rPr>
        <w:t>612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 (7940), 477–482. https://doi.org/10.1038/s41586-022-05447-w.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  <w:lang w:val="en-US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>(9)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  <w:lang w:val="en-US"/>
        </w:rPr>
        <w:t xml:space="preserve">Motoki Sasakawa; Kumiko Shimoyama; Machida, T.; Tsuda, N.; Shimada, H.; Mikhail Arshinov; Davydov, D.; Fofonov, A. V.; Krasnov, O. A.; Saeki, T.; Koyama, Y.; Shamil Maksyutov. Continuous Measurements of Methane from a Tower Network over Siberia.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</w:rPr>
        <w:t>Tellus B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</w:rPr>
        <w:t xml:space="preserve"> 2010, </w:t>
      </w:r>
      <w:r>
        <w:rPr>
          <w:rFonts w:eastAsia="Arial" w:cs="Arial" w:ascii="Arial" w:hAnsi="Arial"/>
          <w:b/>
          <w:bCs/>
          <w:i/>
          <w:iCs/>
          <w:color w:val="222222"/>
          <w:sz w:val="28"/>
          <w:szCs w:val="28"/>
          <w:highlight w:val="white"/>
        </w:rPr>
        <w:t>62</w:t>
      </w: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</w:rPr>
        <w:t xml:space="preserve"> (5), 403–403. https://doi.org/10.1111/j.1600-0889.2010.00494.x.</w:t>
      </w:r>
      <w:bookmarkEnd w:id="0"/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</w:rPr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b/>
          <w:bCs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</w:rPr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b/>
          <w:bCs/>
          <w:color w:val="222222"/>
          <w:sz w:val="28"/>
          <w:szCs w:val="28"/>
          <w:highlight w:val="white"/>
        </w:rPr>
        <w:t>Основные вопросы, стоящие перед климатическим анализом (в первую очередь температура, по осадкам предлагаю отдельно обсудить)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t>1) Правильное описание трендов температуры на Байкале по глубинам.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- </w:t>
      </w:r>
      <w:r>
        <w:rPr>
          <w:rFonts w:eastAsia="Arial" w:cs="Arial" w:ascii="Arial" w:hAnsi="Arial"/>
          <w:color w:val="222222"/>
          <w:sz w:val="28"/>
          <w:szCs w:val="28"/>
          <w:highlight w:val="yellow"/>
        </w:rPr>
        <w:t>Этот вопрос можно обсуждать на основании примера для одной из глубин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t>, для примера обсудим поверхность. Оцениваются коэффициенты тренда и значимость по критерию Пирсона (т.н. p-level).</w:t>
        <w:br/>
        <w:br/>
        <w:t>2) Как климатические изменения влияют на температуру воды Байкала?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</w:t>
      </w:r>
      <w:r>
        <w:rPr>
          <w:rFonts w:eastAsia="Arial" w:cs="Arial" w:ascii="Arial" w:hAnsi="Arial"/>
          <w:color w:val="222222"/>
          <w:sz w:val="28"/>
          <w:szCs w:val="28"/>
        </w:rPr>
        <w:t>- Здесь можно было бы сделать одноточечные корреляции между графиком температуры на разных глубинах и полем точек. Причем можно делать разные периоды например 1940-1970, 1970-2000, 2000-настоящее время. Площадь коррелированная с температурой должна расти.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t>3) С событиями какого уровня коррелирует температура на Байкале? Байкал глобальный или «региональный термометр»? Если «региональный», то какого масштаба этот регион? См. предыдущий пункт, теже корреляции только для Т воздуха на нескольких станциях байкала.</w:t>
        <w:br/>
        <w:br/>
        <w:t>4) На температуру какого периода в году реагирует Байкал, учитывая, что значительную часть года он подо льдом? Как изменилась сезонность в Байкале?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</w:t>
      </w:r>
      <w:r>
        <w:rPr>
          <w:rFonts w:eastAsia="Arial" w:cs="Arial" w:ascii="Arial" w:hAnsi="Arial"/>
          <w:color w:val="222222"/>
          <w:sz w:val="28"/>
          <w:szCs w:val="28"/>
        </w:rPr>
        <w:t>- ВЕРОЯТНО! Но я не большой специалист. Ответ на этот вопрос кроется в сроках установления гомотермии -  после весенней гомотермии все даты до осенней гомотермии можно считать значимыми. Более тонкими моментами являются  – как зимнияя температура коррелирует с весенней гомотермией? Ее датами. Здесь нужны графики дат весенней и осенней гомотермии и кол-ва дней между датами. Это было бы интересно.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t xml:space="preserve">5) Насколько инерционна температура Байкальской воды по сравнению с температурой воздуха? С какой задержкой она реагирует на изменение температуры воздуха? 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</w:t>
      </w:r>
      <w:r>
        <w:rPr>
          <w:rFonts w:eastAsia="Arial" w:cs="Arial" w:ascii="Arial" w:hAnsi="Arial"/>
          <w:color w:val="222222"/>
          <w:sz w:val="28"/>
          <w:szCs w:val="28"/>
        </w:rPr>
        <w:t>- Посмотреть графики между собой макс темп воздуха и воды (даты).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t>6) В каком масштабе Байкал влияет на климат окружающих регионов? Как изменилось его влияние на соседние регионы с учетом климатических изменений?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</w:t>
      </w:r>
      <w:r>
        <w:rPr>
          <w:rFonts w:eastAsia="Arial" w:cs="Arial" w:ascii="Arial" w:hAnsi="Arial"/>
          <w:color w:val="222222"/>
          <w:sz w:val="28"/>
          <w:szCs w:val="28"/>
        </w:rPr>
        <w:t>- Посмотреть как меняется дельта между графиками температуры между станциями в котловине и вне ее (Иркутск, Улан-Удэ).</w:t>
        <w:br/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t>7) … ?</w:t>
        <w:br/>
        <w:br/>
        <w:t>Наблюдения, которые мы сделали к этому моменту:</w:t>
        <w:br/>
        <w:t>1) В целом поверхностный слой Байкала греется в соответствии с температурой Северного полушария (было повышение в 40-50 годы, потом понижение и с 70-80-х идет вверх). Глубинные слои 100-250 м тоже имеют тренд на повышение, порядка 0.5-1 градус за 75 лет. (поверхностный - на глубине 0-0.5 м. До 50 м - фотический слой или продуцирующий, до 200-250 м - ежегодно перемешивающийся слой, слой ветрового перемешивания для Байкала. Слой 0-250 м считается перемешиваемым дважды в год по классической схеме "перемешивание во время "весенней" гомотермии" (по сходу льда: май-июнь) и "перемешивание во время "осенней" гомотермии" (октябрь-декабрь), на Байкале обычно называемым "сезон осенних штормов". Весь объём воды сейчас принято считать перемешивается за 10 лет).</w:t>
        <w:br/>
        <w:br/>
        <w:t>2) Изменяется сезонность – «летний» период становится длиннее и удлинняется за счет календарной осени («летний период» был определен как период между гомотермией – когда температура по всем глубинам одинаковая. «летом» поверхность теплее чем глубина, «зимой» поверхность холоднее чем глубина.</w:t>
        <w:br/>
        <w:br/>
        <w:t>3) Увеличивается разница температур между поверхностью и глубиной. Поверхность теплеет с опережающими темпами относительно глубины. Это важно, так как многие биологические процессы происходят именно там.</w:t>
        <w:br/>
        <w:br/>
        <w:t>4) Есть инерция между поверхностью и глубиной. По сравнению с температурой воздуха в Б. Голоустной поверхность Байкала выходит на сезонный пик практически одновременно, с глубиной происходит замедление. На 50 м пик температуры наблюдается примерно на 2 месяца позже, на 100 м на три месяца. Это еще нужно перепроверить и доказать, но тренд есть.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color w:val="222222"/>
          <w:sz w:val="28"/>
          <w:szCs w:val="28"/>
          <w:highlight w:val="white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– </w:t>
      </w:r>
      <w:r>
        <w:rPr>
          <w:rFonts w:eastAsia="Arial" w:cs="Arial" w:ascii="Arial" w:hAnsi="Arial"/>
          <w:color w:val="222222"/>
          <w:sz w:val="28"/>
          <w:szCs w:val="28"/>
        </w:rPr>
        <w:t>здесь определенно нужны графики дат выхода на макс для разных глубин (по оси  х год, по оси y дата)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t>5) В сравнении с 1940 годами пик лета (максимальная температура воздуха – тут еще вопрос как ее лучше всего корректно определять, пока просто берем максимальное значение) в Голоустной стал наступать раньше, тот же тренд для Улан-Удэ, а также поверхности Байкала и глубины 50 м, В Чите мы такого тренда не видим, там пик лета стабильный. Максимальные летние температуры по Голоустной, Улан-Удэ, Чите все растут.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rFonts w:eastAsia="Arial" w:cs="Arial" w:ascii="Arial" w:hAnsi="Arial"/>
          <w:color w:val="222222"/>
          <w:sz w:val="28"/>
          <w:szCs w:val="28"/>
        </w:rPr>
        <w:t xml:space="preserve"> – </w:t>
      </w:r>
      <w:r>
        <w:rPr>
          <w:rFonts w:eastAsia="Arial" w:cs="Arial" w:ascii="Arial" w:hAnsi="Arial"/>
          <w:color w:val="222222"/>
          <w:sz w:val="28"/>
          <w:szCs w:val="28"/>
        </w:rPr>
        <w:t>здесь также можно делать графики дат максимумумов и их трендов</w:t>
      </w:r>
      <w:r>
        <w:rPr>
          <w:rFonts w:eastAsia="Arial" w:cs="Arial" w:ascii="Arial" w:hAnsi="Arial"/>
          <w:color w:val="222222"/>
          <w:sz w:val="28"/>
          <w:szCs w:val="28"/>
          <w:highlight w:val="white"/>
        </w:rPr>
        <w:br/>
        <w:br/>
        <w:br/>
        <w:t>Суммируя все это можно предположить, что Байкал нагревается неравномерно, поверхность быстрее, но и глубинная часть тоже стала реагировать. Теплый период в воде Байкала удлиняется за счет осени. Байкал стал меньше охлаждать соседние территории, лето в них стало наступать раньше. Это влияние возможно дотягивается до Улан-Удэ, но до Читы уже не дотягивает.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>Эти пункты если удастся их доказать вполне могут быть key points для статьи.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 xml:space="preserve">Все эти три пункта очень актуальны: 1. Нагревание более глубоких слоев это сильный сигнал к тому что определенная черта уже пройдена. Тоже самое говорит то что охлаждающий эффект Байкала может снижаться. Удлинение теплого периода является сильно обсуждаемой темой </w:t>
      </w:r>
      <w:hyperlink r:id="rId3" w:tgtFrame="https://iopscience.iop.org/article/10.1088/1748-9326/ac3f64">
        <w:r>
          <w:rPr>
            <w:rStyle w:val="Hyperlink"/>
            <w:sz w:val="28"/>
            <w:szCs w:val="28"/>
          </w:rPr>
          <w:t>https://iopscience.iop.org/article/10.1088/1748-9326/ac3f64</w:t>
        </w:r>
      </w:hyperlink>
      <w:r>
        <w:rPr>
          <w:sz w:val="28"/>
          <w:szCs w:val="28"/>
        </w:rPr>
        <w:t xml:space="preserve">, </w:t>
      </w:r>
      <w:hyperlink r:id="rId4" w:tgtFrame="https://agupubs.onlinelibrary.wiley.com/doi/10.1029/2020gl091753">
        <w:r>
          <w:rPr>
            <w:rStyle w:val="Hyperlink"/>
            <w:sz w:val="28"/>
            <w:szCs w:val="28"/>
          </w:rPr>
          <w:t>https://agupubs.onlinelibrary.wiley.com/doi/10.1029/2020gl091753</w:t>
        </w:r>
      </w:hyperlink>
      <w:r>
        <w:rPr>
          <w:sz w:val="28"/>
          <w:szCs w:val="28"/>
        </w:rPr>
        <w:t xml:space="preserve">  однако если бы можно было показать смещение сроков гомотермии на байкале это был бы прорыв в определенной степени. В дополнении к этому можно посмотреть как меняется температуры осени, с летом все понятно, оно имеет сильный тренд на увеличение температуры.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>Графики изменения аномалий температуры в Восточной Сибири (без Арктики: 45-65 сш 80-120 вд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>Зима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/>
        <w:drawing>
          <wp:inline distT="0" distB="0" distL="0" distR="0">
            <wp:extent cx="5940425" cy="371284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>Весна</w:t>
        <w:br/>
      </w:r>
      <w:r>
        <w:rPr/>
        <w:drawing>
          <wp:inline distT="0" distB="0" distL="0" distR="0">
            <wp:extent cx="5940425" cy="371284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  <w:t>Лето</w:t>
      </w:r>
    </w:p>
    <w:p>
      <w:pPr>
        <w:pStyle w:val="Normal"/>
        <w:pBdr/>
        <w:shd w:val="clear" w:color="FFFFFF" w:fill="FFFFFF"/>
        <w:rPr>
          <w:rFonts w:ascii="Arial" w:hAnsi="Arial" w:eastAsia="Arial" w:cs="Arial"/>
          <w:sz w:val="28"/>
          <w:szCs w:val="28"/>
        </w:rPr>
      </w:pPr>
      <w:r>
        <w:rPr>
          <w:rFonts w:eastAsia="Arial" w:cs="Arial" w:ascii="Arial" w:hAnsi="Arial"/>
          <w:sz w:val="28"/>
          <w:szCs w:val="28"/>
        </w:rPr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/>
        <w:drawing>
          <wp:inline distT="0" distB="0" distL="0" distR="0">
            <wp:extent cx="5940425" cy="371284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color="FFFFFF" w:fill="FFFFFF"/>
        <w:ind w:firstLine="709"/>
        <w:rPr>
          <w:sz w:val="28"/>
          <w:szCs w:val="28"/>
        </w:rPr>
      </w:pPr>
      <w:r>
        <w:rPr>
          <w:sz w:val="28"/>
          <w:szCs w:val="28"/>
        </w:rPr>
        <w:t>осень</w:t>
      </w:r>
    </w:p>
    <w:p>
      <w:pPr>
        <w:pStyle w:val="Normal"/>
        <w:pBdr/>
        <w:shd w:val="clear" w:color="FFFFFF" w:fill="FFFFFF"/>
        <w:rPr>
          <w:sz w:val="28"/>
          <w:szCs w:val="28"/>
        </w:rPr>
      </w:pPr>
      <w:r>
        <w:rPr/>
        <w:drawing>
          <wp:inline distT="0" distB="0" distL="0" distR="0">
            <wp:extent cx="5940425" cy="3712845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Liberation Sans" w:hAnsi="Liberation Sans" w:eastAsia="Liberation Sans" w:cs="Liberation Sans"/>
      <w:color w:val="auto"/>
      <w:kern w:val="0"/>
      <w:sz w:val="20"/>
      <w:szCs w:val="20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200"/>
      <w:outlineLvl w:val="0"/>
    </w:pPr>
    <w:rPr>
      <w:sz w:val="40"/>
      <w:szCs w:val="40"/>
    </w:rPr>
  </w:style>
  <w:style w:type="paragraph" w:styleId="Heading2">
    <w:name w:val="Heading 2"/>
    <w:basedOn w:val="Heading1"/>
    <w:uiPriority w:val="9"/>
    <w:unhideWhenUsed/>
    <w:qFormat/>
    <w:pPr>
      <w:outlineLvl w:val="1"/>
    </w:pPr>
    <w:rPr/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uiPriority w:val="9"/>
    <w:qFormat/>
    <w:rPr>
      <w:rFonts w:ascii="Liberation Sans" w:hAnsi="Liberation Sans" w:eastAsia="Liberation Sans" w:cs="Liberation Sans"/>
    </w:rPr>
  </w:style>
  <w:style w:type="character" w:styleId="2" w:customStyle="1">
    <w:name w:val="Заголовок 2 Знак"/>
    <w:uiPriority w:val="9"/>
    <w:qFormat/>
    <w:rPr>
      <w:rFonts w:ascii="Liberation Sans" w:hAnsi="Liberation Sans" w:eastAsia="Liberation Sans" w:cs="Liberation Sans"/>
      <w:sz w:val="34"/>
    </w:rPr>
  </w:style>
  <w:style w:type="character" w:styleId="3" w:customStyle="1">
    <w:name w:val="Заголовок 3 Знак"/>
    <w:uiPriority w:val="9"/>
    <w:qFormat/>
    <w:rPr>
      <w:rFonts w:ascii="Liberation Sans" w:hAnsi="Liberation Sans" w:cs="Liberation Sans"/>
    </w:rPr>
  </w:style>
  <w:style w:type="character" w:styleId="4" w:customStyle="1">
    <w:name w:val="Заголовок 4 Знак"/>
    <w:uiPriority w:val="9"/>
    <w:qFormat/>
    <w:rPr>
      <w:rFonts w:ascii="Liberation Sans" w:hAnsi="Liberation Sans" w:eastAsia="Liberation Sans" w:cs="Liberation Sans"/>
    </w:rPr>
  </w:style>
  <w:style w:type="character" w:styleId="5" w:customStyle="1">
    <w:name w:val="Заголовок 5 Знак"/>
    <w:uiPriority w:val="9"/>
    <w:qFormat/>
    <w:rPr>
      <w:rFonts w:ascii="Liberation Sans" w:hAnsi="Liberation Sans" w:eastAsia="Liberation Sans" w:cs="Liberation Sans"/>
    </w:rPr>
  </w:style>
  <w:style w:type="character" w:styleId="6" w:customStyle="1">
    <w:name w:val="Заголовок 6 Знак"/>
    <w:uiPriority w:val="9"/>
    <w:qFormat/>
    <w:rPr>
      <w:rFonts w:ascii="Liberation Sans" w:hAnsi="Liberation Sans" w:eastAsia="Liberation Sans" w:cs="Liberation Sans"/>
    </w:rPr>
  </w:style>
  <w:style w:type="character" w:styleId="7" w:customStyle="1">
    <w:name w:val="Заголовок 7 Знак"/>
    <w:uiPriority w:val="9"/>
    <w:qFormat/>
    <w:rPr>
      <w:rFonts w:ascii="Liberation Sans" w:hAnsi="Liberation Sans" w:eastAsia="Liberation Sans" w:cs="Liberation Sans"/>
    </w:rPr>
  </w:style>
  <w:style w:type="character" w:styleId="8" w:customStyle="1">
    <w:name w:val="Заголовок 8 Знак"/>
    <w:uiPriority w:val="9"/>
    <w:qFormat/>
    <w:rPr>
      <w:rFonts w:ascii="Liberation Sans" w:hAnsi="Liberation Sans" w:eastAsia="Liberation Sans" w:cs="Liberation Sans"/>
    </w:rPr>
  </w:style>
  <w:style w:type="character" w:styleId="9" w:customStyle="1">
    <w:name w:val="Заголовок 9 Знак"/>
    <w:uiPriority w:val="9"/>
    <w:qFormat/>
    <w:rPr>
      <w:rFonts w:ascii="Liberation Sans" w:hAnsi="Liberation Sans" w:eastAsia="Liberation Sans" w:cs="Liberation Sans"/>
    </w:rPr>
  </w:style>
  <w:style w:type="character" w:styleId="Style5" w:customStyle="1">
    <w:name w:val="Название Знак"/>
    <w:uiPriority w:val="10"/>
    <w:qFormat/>
    <w:rPr>
      <w:sz w:val="48"/>
      <w:szCs w:val="48"/>
    </w:rPr>
  </w:style>
  <w:style w:type="character" w:styleId="Style6" w:customStyle="1">
    <w:name w:val="Подзаголовок Знак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InternetLink">
    <w:name w:val="Internet Link"/>
    <w:uiPriority w:val="99"/>
    <w:unhideWhenUsed/>
    <w:qFormat/>
    <w:rPr>
      <w:color w:themeColor="hyperlink" w:val="0563C1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/>
    <w:rPr>
      <w:b/>
      <w:bCs/>
      <w:color w:themeColor="accent1" w:val="5B9BD5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/>
  </w:style>
  <w:style w:type="paragraph" w:styleId="TOC1">
    <w:name w:val="TOC 1"/>
    <w:basedOn w:val="Normal"/>
    <w:uiPriority w:val="39"/>
    <w:unhideWhenUsed/>
    <w:pPr>
      <w:spacing w:before="0" w:after="57"/>
    </w:pPr>
    <w:rPr/>
  </w:style>
  <w:style w:type="paragraph" w:styleId="TOC2">
    <w:name w:val="TOC 2"/>
    <w:basedOn w:val="Normal"/>
    <w:uiPriority w:val="39"/>
    <w:unhideWhenUsed/>
    <w:pPr>
      <w:spacing w:before="0" w:after="57"/>
      <w:ind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left="2268"/>
    </w:pPr>
    <w:rPr/>
  </w:style>
  <w:style w:type="paragraph" w:styleId="IndexHeading">
    <w:name w:val="Index Heading"/>
    <w:basedOn w:val="Style12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uiPriority w:val="99"/>
    <w:unhideWhenUsed/>
    <w:pPr>
      <w:spacing w:before="0" w:after="0"/>
    </w:pPr>
    <w:rPr/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Style14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i.org/10.5194/acp-24-10441-2024." TargetMode="External"/><Relationship Id="rId3" Type="http://schemas.openxmlformats.org/officeDocument/2006/relationships/hyperlink" Target="https://iopscience.iop.org/article/10.1088/1748-9326/ac3f64" TargetMode="External"/><Relationship Id="rId4" Type="http://schemas.openxmlformats.org/officeDocument/2006/relationships/hyperlink" Target="https://agupubs.onlinelibrary.wiley.com/doi/10.1029/2020gl091753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LibreOffice/24.2.6.2$Linux_X86_64 LibreOffice_project/420$Build-2</Application>
  <AppVersion>15.0000</AppVersion>
  <Pages>7</Pages>
  <Words>1097</Words>
  <Characters>6785</Characters>
  <CharactersWithSpaces>7872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2024-10-10T05:48:00Z</dcterms:created>
  <dc:creator/>
  <dc:description/>
  <dc:language>ru-RU</dc:language>
  <cp:lastModifiedBy/>
  <dcterms:modified xsi:type="dcterms:W3CDTF">2024-11-23T03:28:27Z</dcterms:modified>
  <cp:revision>12</cp:revision>
  <dc:subject/>
  <dc:title/>
</cp:coreProperties>
</file>