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8324A"/>
            <w:tcMar>
              <w:top w:w="520" w:type="dxa"/>
              <w:start w:w="420" w:type="dxa"/>
              <w:bottom w:w="480" w:type="dxa"/>
              <w:end w:w="4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b/>
                <w:color w:val="83D6D0"/>
                <w:sz w:val="22"/>
              </w:rPr>
              <w:t>BILLS  |  RAPORT RYNKOWY 2026</w:t>
            </w:r>
          </w:p>
          <w:p>
            <w:pPr>
              <w:spacing w:before="680" w:after="280"/>
            </w:pPr>
            <w:r>
              <w:rPr>
                <w:b/>
                <w:color w:val="FFFFFF"/>
                <w:sz w:val="62"/>
              </w:rPr>
              <w:t>EKOSYSTEM NABIJAREK</w:t>
              <w:br/>
              <w:t>DO GILZ I AKCESORIÓW</w:t>
            </w:r>
          </w:p>
          <w:p>
            <w:pPr>
              <w:spacing w:after="400"/>
            </w:pPr>
            <w:r>
              <w:rPr>
                <w:color w:val="D8E4EE"/>
                <w:sz w:val="30"/>
              </w:rPr>
              <w:t>Taksonomia produktów, architektura sklepu internetowego i kluczowe ryzyka zgodności</w:t>
            </w:r>
          </w:p>
          <w:p>
            <w:r>
              <w:rPr>
                <w:b/>
                <w:color w:val="83D6D0"/>
                <w:sz w:val="20"/>
              </w:rPr>
              <w:t>POLSKA  |  LITWA  |  ŁOTWA  |  UNIA EUROPEJSKA</w:t>
            </w:r>
          </w:p>
        </w:tc>
      </w:tr>
    </w:tbl>
    <w:p>
      <w:pPr>
        <w:spacing w:before="360"/>
      </w:pPr>
      <w:r>
        <w:rPr>
          <w:b/>
          <w:color w:val="18324A"/>
          <w:sz w:val="22"/>
        </w:rPr>
        <w:t>Data analizy: 13 lipca 2026</w:t>
      </w:r>
    </w:p>
    <w:p>
      <w:pPr>
        <w:pStyle w:val="Small"/>
      </w:pPr>
      <w:r>
        <w:t>Opracowanie rynkowe i dotyczące zarządzania ofertą. Dokument nie stanowi porady prawnej ani zdrowotnej.</w:t>
      </w:r>
    </w:p>
    <w:p>
      <w:r>
        <w:br w:type="page"/>
      </w:r>
    </w:p>
    <w:p>
      <w:pPr>
        <w:pStyle w:val="Heading1"/>
        <w:spacing w:before="200" w:after="100"/>
      </w:pPr>
      <w:r>
        <w:t>Streszczenie zarządcze</w:t>
      </w:r>
    </w:p>
    <w:p>
      <w:pPr>
        <w:pStyle w:val="SubtitleSmall"/>
        <w:spacing w:after="160"/>
      </w:pPr>
      <w:r>
        <w:t>Najważniejsze decyzje dotyczące oferty, nawigacji sklepu i rozwoju sprzedaży powtarzalnej.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1463040"/>
            <w:shd w:fill="F3F5F7"/>
            <w:tcBorders>
              <w:top w:val="single" w:sz="6" w:color="D8DEE5"/>
              <w:left w:val="single" w:sz="6" w:color="D8DEE5"/>
              <w:bottom w:val="single" w:sz="6" w:color="D8DEE5"/>
              <w:right w:val="single" w:sz="6" w:color="D8DEE5"/>
            </w:tcBorders>
            <w:tcMar>
              <w:top w:w="150" w:type="dxa"/>
              <w:start w:w="80" w:type="dxa"/>
              <w:bottom w:w="13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F9B93"/>
                <w:sz w:val="44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color w:val="243342"/>
                <w:sz w:val="17"/>
              </w:rPr>
              <w:t>klas produktowych</w:t>
            </w:r>
          </w:p>
        </w:tc>
        <w:tc>
          <w:tcPr>
            <w:tcW w:type="dxa" w:w="1463040"/>
            <w:shd w:fill="F3F5F7"/>
            <w:tcBorders>
              <w:top w:val="single" w:sz="6" w:color="D8DEE5"/>
              <w:left w:val="single" w:sz="6" w:color="D8DEE5"/>
              <w:bottom w:val="single" w:sz="6" w:color="D8DEE5"/>
              <w:right w:val="single" w:sz="6" w:color="D8DEE5"/>
            </w:tcBorders>
            <w:tcMar>
              <w:top w:w="150" w:type="dxa"/>
              <w:start w:w="80" w:type="dxa"/>
              <w:bottom w:w="13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F9B93"/>
                <w:sz w:val="44"/>
              </w:rPr>
              <w:t>126</w:t>
            </w:r>
          </w:p>
          <w:p>
            <w:pPr>
              <w:spacing w:after="0"/>
              <w:jc w:val="center"/>
            </w:pPr>
            <w:r>
              <w:rPr>
                <w:color w:val="243342"/>
                <w:sz w:val="17"/>
              </w:rPr>
              <w:t>pozycji taksonomicznych</w:t>
            </w:r>
          </w:p>
        </w:tc>
        <w:tc>
          <w:tcPr>
            <w:tcW w:type="dxa" w:w="1463040"/>
            <w:shd w:fill="F3F5F7"/>
            <w:tcBorders>
              <w:top w:val="single" w:sz="6" w:color="D8DEE5"/>
              <w:left w:val="single" w:sz="6" w:color="D8DEE5"/>
              <w:bottom w:val="single" w:sz="6" w:color="D8DEE5"/>
              <w:right w:val="single" w:sz="6" w:color="D8DEE5"/>
            </w:tcBorders>
            <w:tcMar>
              <w:top w:w="150" w:type="dxa"/>
              <w:start w:w="80" w:type="dxa"/>
              <w:bottom w:w="13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F9B93"/>
                <w:sz w:val="44"/>
              </w:rPr>
              <w:t>11</w:t>
            </w:r>
          </w:p>
          <w:p>
            <w:pPr>
              <w:spacing w:after="0"/>
              <w:jc w:val="center"/>
            </w:pPr>
            <w:r>
              <w:rPr>
                <w:color w:val="243342"/>
                <w:sz w:val="17"/>
              </w:rPr>
              <w:t>priorytetów sprzedaży uzupełniającej</w:t>
            </w:r>
          </w:p>
        </w:tc>
        <w:tc>
          <w:tcPr>
            <w:tcW w:type="dxa" w:w="1463040"/>
            <w:shd w:fill="F3F5F7"/>
            <w:tcBorders>
              <w:top w:val="single" w:sz="6" w:color="D8DEE5"/>
              <w:left w:val="single" w:sz="6" w:color="D8DEE5"/>
              <w:bottom w:val="single" w:sz="6" w:color="D8DEE5"/>
              <w:right w:val="single" w:sz="6" w:color="D8DEE5"/>
            </w:tcBorders>
            <w:tcMar>
              <w:top w:w="150" w:type="dxa"/>
              <w:start w:w="80" w:type="dxa"/>
              <w:bottom w:w="13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F9B93"/>
                <w:sz w:val="44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color w:val="243342"/>
                <w:sz w:val="17"/>
              </w:rPr>
              <w:t>jurysdykcje prawne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000"/>
      </w:tblGrid>
      <w:tr>
        <w:tc>
          <w:tcPr>
            <w:tcW w:type="dxa" w:w="5184"/>
            <w:shd w:fill="1F9B93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84"/>
            <w:shd w:fill="DDEFEA"/>
            <w:tcBorders>
              <w:top w:val="single" w:sz="5" w:color="D8DEE5"/>
              <w:left w:val="nil"/>
              <w:bottom w:val="single" w:sz="5" w:color="D8DEE5"/>
              <w:right w:val="single" w:sz="5" w:color="D8DEE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1"/>
              </w:rPr>
              <w:t>Główny wniosek</w:t>
            </w:r>
          </w:p>
          <w:p>
            <w:pPr>
              <w:spacing w:after="0"/>
            </w:pPr>
            <w:r>
              <w:rPr>
                <w:color w:val="243342"/>
                <w:sz w:val="19"/>
              </w:rPr>
              <w:t>Rdzeń ekosystemu nabijarek jest węższy, niż sugerują typowe sklepy z akcesoriami dla palaczy. Rdzeń tworzą urządzenia, kompatybilne gilzy, odpowiedni tytoń, konserwacja oraz części. Bibułki, filtry luzem i maszynki do skręcania obsługują podobnego klienta, ale należą do odrębnego procesu RYO.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</w:pPr>
      <w:r>
        <w:t>Pięć decyzji wynikających z analizy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880"/>
        <w:gridCol w:w="5760"/>
      </w:tblGrid>
      <w:tr>
        <w:trPr>
          <w:tblHeader w:val="true"/>
        </w:trPr>
        <w:tc>
          <w:tcPr>
            <w:tcW w:type="dxa" w:w="411480"/>
            <w:shd w:fill="1832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28800"/>
            <w:shd w:fill="1832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Decyzja</w:t>
            </w:r>
          </w:p>
        </w:tc>
        <w:tc>
          <w:tcPr>
            <w:tcW w:type="dxa" w:w="3657600"/>
            <w:shd w:fill="1832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Znaczenie operacyjne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DDEFEA"/>
          </w:tcPr>
          <w:p>
            <w:pPr>
              <w:jc w:val="center"/>
            </w:pPr>
            <w:r>
              <w:rPr>
                <w:b/>
                <w:color w:val="243342"/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8"/>
              </w:rPr>
              <w:t>Oddzielić nabijanie od RYO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8"/>
              </w:rPr>
              <w:t>Nabijarki i gilzy powinny mieć własną, pierwszoplanową ścieżkę. RYO pozostaje kategorią równoległą, a nie podkategorią akcesoriów do nabijarek.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DDEFEA"/>
          </w:tcPr>
          <w:p>
            <w:pPr>
              <w:jc w:val="center"/>
            </w:pPr>
            <w:r>
              <w:rPr>
                <w:b/>
                <w:color w:val="243342"/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8"/>
              </w:rPr>
              <w:t>Budować wartość na zakupach cyklicznych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8"/>
              </w:rPr>
              <w:t>Urządzenie pozyskuje klienta, natomiast gilzy, tytoń oraz wybrane produkty do wilgotności generują powtarzalność zakupów.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DDEFEA"/>
          </w:tcPr>
          <w:p>
            <w:pPr>
              <w:jc w:val="center"/>
            </w:pPr>
            <w:r>
              <w:rPr>
                <w:b/>
                <w:color w:val="243342"/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8"/>
              </w:rPr>
              <w:t>Uczynić kompatybilność elementem UX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8"/>
              </w:rPr>
              <w:t>Filtry po długości, średnicy, typie gilzy i modelu urządzenia powinny być widoczne w nawigacji, na kartach produktów i w serwisie.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DDEFEA"/>
          </w:tcPr>
          <w:p>
            <w:pPr>
              <w:jc w:val="center"/>
            </w:pPr>
            <w:r>
              <w:rPr>
                <w:b/>
                <w:color w:val="243342"/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8"/>
              </w:rPr>
              <w:t>Rozwinąć serwis i części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8"/>
              </w:rPr>
              <w:t>Czyszczenie, części eksploatacyjne, instrukcje i diagnostyka zmniejszają odpływ klientów oraz odróżniają autoryzowany kanał od przypadkowych sprzedawców.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DDEFEA"/>
          </w:tcPr>
          <w:p>
            <w:pPr>
              <w:jc w:val="center"/>
            </w:pPr>
            <w:r>
              <w:rPr>
                <w:b/>
                <w:color w:val="243342"/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8"/>
              </w:rPr>
              <w:t>Wydzielić produkty wysokiego ryzyka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8"/>
              </w:rPr>
              <w:t>Produkty aromatyzowane, sprzedaż tytoniu online, zestawy promocyjne i materiały wizerunkowe wymagają osobnej weryfikacji prawnej na każdym rynku.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06440" cy="2167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_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67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Rysunek 1. Urządzenie rozpoczyna relację; powtarzalna wartość pochodzi głównie z materiałów eksploatacyjnych, serwisu i dobrze dobranej sprzedaży uzupełniającej.</w:t>
      </w:r>
    </w:p>
    <w:p>
      <w:pPr>
        <w:pStyle w:val="Heading1"/>
        <w:spacing w:before="200" w:after="100"/>
      </w:pPr>
      <w:r>
        <w:t>Zakres i podstawa opracowania</w:t>
      </w:r>
    </w:p>
    <w:p>
      <w:r>
        <w:t>Raport porządkuje produkty według ich rzeczywistego związku z nabijaniem gilz, roli handlowej, częstotliwości zakupu i wrażliwości regulacyjnej. Klasyfikacja opiera się na katalogach producentów, stronach produktowych i serwisowych sprzedawców oraz oficjalnych lub autorytatywnych źródłach prawnych dla Polski, Litwy, Łotwy i Unii Europejskiej.</w:t>
      </w:r>
    </w:p>
    <w:p>
      <w:r>
        <w:t>Ważne ograniczenie: dokument nie przedstawia audytowanych wolumenów sprzedaży. Priorytety handlowe są modelem zarządzania ofertą opartym na częstotliwości zakupu, kompatybilności i roli produktu w koszyku klienta.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000"/>
      </w:tblGrid>
      <w:tr>
        <w:tc>
          <w:tcPr>
            <w:tcW w:type="dxa" w:w="5184"/>
            <w:shd w:fill="223E5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84"/>
            <w:shd w:fill="F3F5F7"/>
            <w:tcBorders>
              <w:top w:val="single" w:sz="5" w:color="D8DEE5"/>
              <w:left w:val="nil"/>
              <w:bottom w:val="single" w:sz="5" w:color="D8DEE5"/>
              <w:right w:val="single" w:sz="5" w:color="D8DEE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1"/>
              </w:rPr>
              <w:t>Jak czytać oznaczenia</w:t>
            </w:r>
          </w:p>
          <w:p>
            <w:pPr>
              <w:spacing w:after="0"/>
            </w:pPr>
            <w:r>
              <w:rPr>
                <w:color w:val="243342"/>
                <w:sz w:val="19"/>
              </w:rPr>
              <w:t>RDZEŃ oznacza produkty niezbędne lub bezpośrednio związane z nabijaniem. WSPARCIE poprawia przygotowanie, przechowywanie lub utrzymanie urządzenia. RYO to alternatywny proces. OGÓLNE obejmuje dodatki dla palacza. POZA EKOSYSTEMEM oznacza odrębne systemy używania.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5806440" cy="2941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xon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Rysunek 2. Model rozdzielający produkty podstawowe, wspierające, alternatywne i niepowiązane z procesem nabijania.</w:t>
      </w:r>
    </w:p>
    <w:p>
      <w:pPr>
        <w:pStyle w:val="Heading2"/>
        <w:spacing w:before="120" w:after="100"/>
      </w:pPr>
      <w:r>
        <w:t>Model klasyfikacji operacyjnej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024"/>
        <w:gridCol w:w="3024"/>
      </w:tblGrid>
      <w:tr>
        <w:trPr>
          <w:tblHeader w:val="true"/>
        </w:trPr>
        <w:tc>
          <w:tcPr>
            <w:tcW w:type="dxa" w:w="914400"/>
            <w:shd w:fill="18324A"/>
          </w:tcPr>
          <w:p>
            <w:r>
              <w:rPr>
                <w:b/>
                <w:color w:val="FFFFFF"/>
                <w:sz w:val="17"/>
              </w:rPr>
              <w:t>Klasa</w:t>
            </w:r>
          </w:p>
        </w:tc>
        <w:tc>
          <w:tcPr>
            <w:tcW w:type="dxa" w:w="1508760"/>
            <w:shd w:fill="18324A"/>
          </w:tcPr>
          <w:p>
            <w:r>
              <w:rPr>
                <w:b/>
                <w:color w:val="FFFFFF"/>
                <w:sz w:val="17"/>
              </w:rPr>
              <w:t>Znaczenie</w:t>
            </w:r>
          </w:p>
        </w:tc>
        <w:tc>
          <w:tcPr>
            <w:tcW w:type="dxa" w:w="1920240"/>
            <w:shd w:fill="18324A"/>
          </w:tcPr>
          <w:p>
            <w:r>
              <w:rPr>
                <w:b/>
                <w:color w:val="FFFFFF"/>
                <w:sz w:val="17"/>
              </w:rPr>
              <w:t>Przykłady</w:t>
            </w:r>
          </w:p>
        </w:tc>
        <w:tc>
          <w:tcPr>
            <w:tcW w:type="dxa" w:w="1920240"/>
            <w:shd w:fill="18324A"/>
          </w:tcPr>
          <w:p>
            <w:r>
              <w:rPr>
                <w:b/>
                <w:color w:val="FFFFFF"/>
                <w:sz w:val="17"/>
              </w:rPr>
              <w:t>Zalecane zastosowanie w sklepie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DDEFEA"/>
          </w:tcPr>
          <w:p>
            <w:r>
              <w:rPr>
                <w:b/>
                <w:color w:val="243342"/>
                <w:sz w:val="16"/>
              </w:rPr>
              <w:t>RDZEŃ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6"/>
              </w:rPr>
              <w:t>Bezpośredni ekosystem nabijarek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6"/>
              </w:rPr>
              <w:t>Urządzenia, gilzy, właściwy tytoń, czyszczenie i kompatybilne części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6"/>
              </w:rPr>
              <w:t>Główna nawigacja, strony docelowe i filtry kompatybilności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E7EFF6"/>
          </w:tcPr>
          <w:p>
            <w:r>
              <w:rPr>
                <w:b/>
                <w:color w:val="243342"/>
                <w:sz w:val="16"/>
              </w:rPr>
              <w:t>WSPARCIE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6"/>
              </w:rPr>
              <w:t>Przygotowanie i przechowywanie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6"/>
              </w:rPr>
              <w:t>Pojemniki hermetyczne, wilgotność, miarki, lejki, przygotowanie tytoniu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6"/>
              </w:rPr>
              <w:t>Silny sprzedaż uzupełniająca w osobnej podkategorii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F6E6A8"/>
          </w:tcPr>
          <w:p>
            <w:r>
              <w:rPr>
                <w:b/>
                <w:color w:val="243342"/>
                <w:sz w:val="16"/>
              </w:rPr>
              <w:t>RYO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6"/>
              </w:rPr>
              <w:t>Powiązany odbiorca, alternatywny proces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6"/>
              </w:rPr>
              <w:t>Bibułki, filtry luzem, tipsy, maszynki i tacki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6"/>
              </w:rPr>
              <w:t>Osobna kategoria RYO - nie nazywać akcesoriami do nabijarek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F6D1A7"/>
          </w:tcPr>
          <w:p>
            <w:r>
              <w:rPr>
                <w:b/>
                <w:color w:val="243342"/>
                <w:sz w:val="16"/>
              </w:rPr>
              <w:t>OGÓLNE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6"/>
              </w:rPr>
              <w:t>Ogólne akcesoria dla palacza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6"/>
              </w:rPr>
              <w:t>Zapalniczki, popielniczki, papierośnice, gaz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6"/>
              </w:rPr>
              <w:t>Dodatki przy kasie lub kategoria drugorzędna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F4CCCC"/>
          </w:tcPr>
          <w:p>
            <w:r>
              <w:rPr>
                <w:b/>
                <w:color w:val="243342"/>
                <w:sz w:val="16"/>
              </w:rPr>
              <w:t>POZA EKOSYSTEMEM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6"/>
              </w:rPr>
              <w:t>Odrębny system użytkowania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6"/>
              </w:rPr>
              <w:t>Fajki, bonga, szisze, vape, grindery, akcesoria do cygar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6"/>
              </w:rPr>
              <w:t>Wykluczyć z nawigacji nabijarek</w:t>
            </w:r>
          </w:p>
        </w:tc>
      </w:tr>
    </w:tbl>
    <w:p>
      <w:pPr>
        <w:sectPr>
          <w:headerReference w:type="default" r:id="rId30"/>
          <w:footerReference w:type="default" r:id="rId31"/>
          <w:headerReference w:type="first" r:id="rId36"/>
          <w:footerReference w:type="first" r:id="rId37"/>
          <w:pgSz w:w="12240" w:h="15840"/>
          <w:pgMar w:top="792" w:right="936" w:bottom="792" w:left="936" w:header="360" w:footer="360" w:gutter="0"/>
          <w:cols w:space="720"/>
          <w:titlePg/>
          <w:docGrid w:linePitch="360"/>
        </w:sectPr>
      </w:pPr>
    </w:p>
    <w:p>
      <w:pPr>
        <w:pStyle w:val="Heading1"/>
        <w:spacing w:before="200" w:after="100"/>
      </w:pPr>
      <w:r>
        <w:t>Katalog produktów i klasyfikacja</w:t>
      </w:r>
    </w:p>
    <w:p>
      <w:pPr>
        <w:pStyle w:val="SubtitleSmall"/>
        <w:spacing w:after="160"/>
      </w:pPr>
      <w:r>
        <w:t>Pełna taksonomia 126 pozycji, uproszczona do polskiego układu operacyjnego.</w:t>
      </w:r>
    </w:p>
    <w:p>
      <w:pPr>
        <w:pStyle w:val="SubtitleSmall"/>
      </w:pPr>
      <w:r>
        <w:t>Kolumna „rola handlowa” opisuje zastosowanie w zarządzaniu ofertą, a nie udział w rynku ani audytowany wolumen sprzedaży.</w:t>
      </w:r>
    </w:p>
    <w:p>
      <w:pPr>
        <w:pStyle w:val="Heading2"/>
        <w:spacing w:before="120" w:after="100"/>
      </w:pPr>
      <w:r>
        <w:t>Urządzenia i gilzy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1656"/>
        <w:gridCol w:w="1728"/>
        <w:gridCol w:w="4320"/>
        <w:gridCol w:w="1656"/>
        <w:gridCol w:w="2664"/>
      </w:tblGrid>
      <w:tr>
        <w:trPr>
          <w:tblHeader w:val="true"/>
        </w:trPr>
        <w:tc>
          <w:tcPr>
            <w:tcW w:type="dxa" w:w="19659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Produkt</w:t>
            </w:r>
          </w:p>
        </w:tc>
        <w:tc>
          <w:tcPr>
            <w:tcW w:type="dxa" w:w="10515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Klasa</w:t>
            </w:r>
          </w:p>
        </w:tc>
        <w:tc>
          <w:tcPr>
            <w:tcW w:type="dxa" w:w="109728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Cykl zakupu</w:t>
            </w:r>
          </w:p>
        </w:tc>
        <w:tc>
          <w:tcPr>
            <w:tcW w:type="dxa" w:w="274320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Rola handlowa</w:t>
            </w:r>
          </w:p>
        </w:tc>
        <w:tc>
          <w:tcPr>
            <w:tcW w:type="dxa" w:w="10515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Wrażliwość</w:t>
            </w:r>
          </w:p>
        </w:tc>
        <w:tc>
          <w:tcPr>
            <w:tcW w:type="dxa" w:w="169164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Kategoria sklepu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Nabijarka ręczna kieszonkowa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urządzenie wejściowe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Nabijarki do gilz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Nabijarka stołowa z korbką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większa stabilność i wydajność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Nabijarki do gilz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Nabijarka tłokowa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gęste i kontrolowane napełnianie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Nabijarki do gilz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Nabijarka elektryczna ślimakowa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wygoda i szybkość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Nabijarki elektryczne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Nabijarka elektryczna tłokowa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segment urządzeń premium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Nabijarki elektryczne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Nabijarka automatyczna z zasobnikiem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wysoka wydajność w użytku domowym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Nabijarki automatyczne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Nabijarka przenośna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użycie mobilne i kompaktowe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Nabijarki przenośne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Nabijarka do gilz slim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zgodność z wąskimi gilzami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Nabijarki Slim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Nabijarka wieloformatowa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zgodność ze standardowym i długim filtrem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Nabijarki wieloformatowe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Półprofesjonalna maszyna wielosztukowa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8DDF4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WARUNKOWE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nisza B2B lub intensywne użytkowanie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Maszyny profesjonalne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Gilzy standard 84 mm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podstawowy produkt powtarzalny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Gilzy standard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Gilzy 100 mm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produkt powtarzalny w długim formacie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Gilzy 100 mm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Gilzy z długim filtrem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wariant formatu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Gilzy z długim filtrem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Gilzy Slim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wąski format - wymaga zgodności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Gilzy Slim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Gilzy Extra Slim / Super Slim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niszowy, wąski format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Gilzy Extra Slim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Gilzy Micro Slim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format specjalistyczny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Gilzy Micro Slim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Gilzy z filtrem węglowym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wariant filtra premium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Gilzy węglowe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Gilzy ekologiczne / niebielone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wariant materiału i opakowania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Gilzy niebielone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Gilzy kolorowe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nisza oparta na wzornictwie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Gilzy kolorowe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Gilzy mentolowe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8DDF4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WARUNKOWE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dostępność zależy od prawa i rynku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bardzo 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Gilzy specjalne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Gilzy smakowe / kapsułkowe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8DDF4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WARUNKOWE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wysokie ryzyko zgodności - wymaga lokalnej weryfikacji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bardzo 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Gilzy specjalne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Gilzy bez filtra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8DDF4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WARUNKOWE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rzadziej spotykany produkt specjalistyczny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Gilzy specjalne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Pudełka i zasobniki na gilzy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ochrona i organizacja gilz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Przechowywanie gilz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</w:pPr>
      <w:r>
        <w:t>Tytoń, konserwacja i części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1656"/>
        <w:gridCol w:w="1728"/>
        <w:gridCol w:w="4320"/>
        <w:gridCol w:w="1656"/>
        <w:gridCol w:w="2664"/>
      </w:tblGrid>
      <w:tr>
        <w:trPr>
          <w:tblHeader w:val="true"/>
        </w:trPr>
        <w:tc>
          <w:tcPr>
            <w:tcW w:type="dxa" w:w="19659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Produkt</w:t>
            </w:r>
          </w:p>
        </w:tc>
        <w:tc>
          <w:tcPr>
            <w:tcW w:type="dxa" w:w="10515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Klasa</w:t>
            </w:r>
          </w:p>
        </w:tc>
        <w:tc>
          <w:tcPr>
            <w:tcW w:type="dxa" w:w="109728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Cykl zakupu</w:t>
            </w:r>
          </w:p>
        </w:tc>
        <w:tc>
          <w:tcPr>
            <w:tcW w:type="dxa" w:w="274320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Rola handlowa</w:t>
            </w:r>
          </w:p>
        </w:tc>
        <w:tc>
          <w:tcPr>
            <w:tcW w:type="dxa" w:w="10515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Wrażliwość</w:t>
            </w:r>
          </w:p>
        </w:tc>
        <w:tc>
          <w:tcPr>
            <w:tcW w:type="dxa" w:w="169164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Kategoria sklepu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Tytoń drobno cięty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podstawowy materiał do napełniania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bardzo 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Tytoń do nabijania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Tytoń objętościowy / expanded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zoptymalizowana objętość napełnienia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bardzo 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Tytoń do nabijania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Mieszanki premium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różnicowanie oferty i poziomu cen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bardzo 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Tytoń do nabijania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Tytoń mentolowy lub aromatyzowany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8DDF4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WARUNKOWE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ograniczenia dotyczące aromatów charakterystycznych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bardzo 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Nie publikować bez weryfikacji prawnej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Tytoń organiczny / naturalny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8DDF4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WARUNKOWE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deklaracje i dostępność wymagają weryfikacji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bardzo 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Tytoń specjalistyczny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Szczoteczka do czyszczenia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podstawowy dodatek konserwacyjny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Czyszczenie nabijarek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Pręt / wycior czyszczący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udrażnia kanał tytoniu i dyszę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Czyszczenie nabijarek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Skrobak / pick do resztek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usuwa zbity tytoń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Czyszczenie nabijarek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Ściereczka bezpyłowa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czyszczenie zewnętrzne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Czyszczenie nabijarek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Patyczki bawełniane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czyszczenie precyzyjne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Czyszczenie nabijarek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Sprężone powietrze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8DDF4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WARUNKOWE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wyłącznie, gdy dopuszcza producent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niska-średnia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Konserwacja - warunkowo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Olej / smar konserwacyjny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8DDF4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WARUNKOWE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wyłącznie produkt zatwierdzony przez producenta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niska-średnia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Konserwacja - warunkowo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Końcówka / uchwyt gilzy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część wymienna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część eksploatacyjna do konkretnych modeli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Części zamienne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Tłok / łyżka kompresyjna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część wymienna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element roboczy właściwy dla modelu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Części zamienne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Sprężyna zamienna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część wymienna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naprawa właściwa dla modelu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Części zamienne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Korba / uchwyt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część wymienna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naprawa urządzenia ręcznego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Części zamienne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Pas / fartuch rolki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część wymienna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do maszynek RYO, nie do nabijarek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Części do maszynek RYO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Zasobnik na tytoń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część wymienna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element urządzenia automatycznego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Części zamienne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Lejek zasobnika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część wymienna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element urządzenia automatycznego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Części zamienne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Tacka załadunkowa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część wymienna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element układu podawania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Części zamienne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Tacka odzysku tytoniu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część wymienna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ogranicza straty i zabrudzenia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Akcesoria do nabijarek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Zasilacz / przewód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RDZEŃ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część wymienna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część serwisowa urządzenia elektrycznego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Części elektryczne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Bezpiecznik / śruby / drobny zestaw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8DDF4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WARUNKOWE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część wymienna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wyłącznie przy oficjalnym wsparciu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Serwis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Pokrowiec przeciwkurzowy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chroni urządzenie między użyciami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Pokrowce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Walizka transportowa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transport i ochrona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Pokrowce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</w:pPr>
      <w:r>
        <w:t>Przygotowanie, wilgotność i przechowywanie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1656"/>
        <w:gridCol w:w="1728"/>
        <w:gridCol w:w="4320"/>
        <w:gridCol w:w="1656"/>
        <w:gridCol w:w="2664"/>
      </w:tblGrid>
      <w:tr>
        <w:trPr>
          <w:tblHeader w:val="true"/>
        </w:trPr>
        <w:tc>
          <w:tcPr>
            <w:tcW w:type="dxa" w:w="19659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Produkt</w:t>
            </w:r>
          </w:p>
        </w:tc>
        <w:tc>
          <w:tcPr>
            <w:tcW w:type="dxa" w:w="10515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Klasa</w:t>
            </w:r>
          </w:p>
        </w:tc>
        <w:tc>
          <w:tcPr>
            <w:tcW w:type="dxa" w:w="109728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Cykl zakupu</w:t>
            </w:r>
          </w:p>
        </w:tc>
        <w:tc>
          <w:tcPr>
            <w:tcW w:type="dxa" w:w="274320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Rola handlowa</w:t>
            </w:r>
          </w:p>
        </w:tc>
        <w:tc>
          <w:tcPr>
            <w:tcW w:type="dxa" w:w="10515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Wrażliwość</w:t>
            </w:r>
          </w:p>
        </w:tc>
        <w:tc>
          <w:tcPr>
            <w:tcW w:type="dxa" w:w="169164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Kategoria sklepu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Rozdrabniacz do liści tytoniu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przygotowanie z całych liści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Przygotowanie tytoniu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Nóż / krajalnica do tytoniu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kontrola grubości cięcia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Przygotowanie tytoniu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Rozdrabniacz elektryczny do tytoniu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przygotowanie większych ilości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Przygotowanie tytoniu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Nożyczki do tytoniu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przygotowanie małych partii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Przygotowanie tytoniu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Butelka z delikatnym spryskiwaczem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kontrolowane nawilżanie - unikać przemoczenia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Nawilżanie tytoniu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Nawilżacz do tytoniu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zarządzanie wilgotnością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Nawilżanie tytoniu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Pakiet regulujący wilgotność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pasywna stabilizacja wilgotności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Nawilżanie tytoniu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Kamień nawilżający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tani dodatek do nawilżania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Nawilżanie tytoniu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Higrometr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pomiar warunków przechowywania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niska-średnia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Nawilżanie tytoniu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Tacka do mieszania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czyste stanowisko przygotowania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Przygotowanie tytoniu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Miarka / szufelka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napełnianie i kontrola porcji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Przygotowanie tytoniu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Lejek do uzupełniania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czystsze uzupełnianie zasobnika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Przygotowanie tytoniu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Pojemnik do mieszania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przygotowanie mieszanek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Przygotowanie tytoniu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Waga cyfrowa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8DDF4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WARUNKOWE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pomiar zapasu lub porcji - produkt opcjonalny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niska-średnia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Akcesoria pomiarowe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Słoik na tytoń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podstawowe przechowywanie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Przechowywanie tytoniu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Pojemnik hermetyczny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ogranicza wysychanie i zanieczyszczenia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Przechowywanie tytoniu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Pojemnik próżniowy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przechowywanie premium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Przechowywanie tytoniu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Saszetka na tytoń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przechowywanie przenośne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Przechowywanie tytoniu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Humidor / skrzynka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WSPARCIE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przechowywanie premium, zwykle powiązane z cygarami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Przechowywanie tytoniu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</w:pPr>
      <w:r>
        <w:t>Alternatywny proces RYO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1656"/>
        <w:gridCol w:w="1728"/>
        <w:gridCol w:w="4320"/>
        <w:gridCol w:w="1656"/>
        <w:gridCol w:w="2664"/>
      </w:tblGrid>
      <w:tr>
        <w:trPr>
          <w:tblHeader w:val="true"/>
        </w:trPr>
        <w:tc>
          <w:tcPr>
            <w:tcW w:type="dxa" w:w="19659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Produkt</w:t>
            </w:r>
          </w:p>
        </w:tc>
        <w:tc>
          <w:tcPr>
            <w:tcW w:type="dxa" w:w="10515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Klasa</w:t>
            </w:r>
          </w:p>
        </w:tc>
        <w:tc>
          <w:tcPr>
            <w:tcW w:type="dxa" w:w="109728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Cykl zakupu</w:t>
            </w:r>
          </w:p>
        </w:tc>
        <w:tc>
          <w:tcPr>
            <w:tcW w:type="dxa" w:w="274320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Rola handlowa</w:t>
            </w:r>
          </w:p>
        </w:tc>
        <w:tc>
          <w:tcPr>
            <w:tcW w:type="dxa" w:w="10515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Wrażliwość</w:t>
            </w:r>
          </w:p>
        </w:tc>
        <w:tc>
          <w:tcPr>
            <w:tcW w:type="dxa" w:w="169164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Kategoria sklepu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Bibułki regular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alternatywna metoda ręcznego skręcania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Bibułki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Bibułki 1 1/4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format alternatywny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Bibułki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Bibułki King Size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większy format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Bibułki King Size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Bibułki King Size Slim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popularny długi i wąski format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Bibułki King Size Slim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Bibułki w rolce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dowolna długość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Bibułki w rolce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Bibułki konopne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wariant materiałowy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Bibułki konopne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Bibułki ryżowe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wariant materiałowy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Bibułki ryżowe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Bibułki lniane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wariant materiałowy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Bibułki lniane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Bibułki niebielone / brązowe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wariant materiału i pozycjonowania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Bibułki niebielone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Bibułki bambusowe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wariant materiałowy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Bibułki bambusowe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Bibułki ultra-cienkie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wariant właściwości użytkowych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Bibułki ultracienkie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Bibułki wolnopalne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wariant właściwości użytkowych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Bibułki wolnopalne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Bibułki smakowe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8DDF4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WARUNKOWE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wysoka wrażliwość prawna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Bibułki specjalne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Filtry standard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do bibułek, nie do gilz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Filtry papierosowe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Filtry Slim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alternatywna średnica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Filtry Slim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Filtry Extra Slim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alternatywna średnica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Filtry Extra Slim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Filtry długie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wariant formatu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Filtry długie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Filtry mentolowe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8DDF4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WARUNKOWE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zgodność i dostępność zależą od rynku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Filtry specjalne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Filtry z węglem aktywnym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filtr premium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Filtry węglowe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Filtry papierowe / biodegradowalne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wariant materiałowy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Filtry ekologiczne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Tipsy kartonowe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ustnik do ręcznego skręcania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Tipsy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Tipsy wstępnie zwinięte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wariant zwiększający wygodę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Tipsy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Maszynka ręczna do skręcania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alternatywny sposób przygotowania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Maszynki do skręcania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Maszynka dwuformatowa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obsługa kilku formatów bibułek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Maszynki do skręcania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Tacka do skręcania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stanowisko pracy i organizacja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Tacki do skręcania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Tacka magnetyczna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wariant stanowiska premium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Tacki do skręcania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Mata silikonowa / mata tytoniowa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alternatywna powierzchnia robocza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Maty do skręcania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Stacja do skręcania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RYO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porządkuje bibułki, filtry i narzędzia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Stacje do skręcania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</w:pPr>
      <w:r>
        <w:t>Akcesoria ogólne i produkty niszowe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1656"/>
        <w:gridCol w:w="1728"/>
        <w:gridCol w:w="4320"/>
        <w:gridCol w:w="1656"/>
        <w:gridCol w:w="2664"/>
      </w:tblGrid>
      <w:tr>
        <w:trPr>
          <w:tblHeader w:val="true"/>
        </w:trPr>
        <w:tc>
          <w:tcPr>
            <w:tcW w:type="dxa" w:w="19659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Produkt</w:t>
            </w:r>
          </w:p>
        </w:tc>
        <w:tc>
          <w:tcPr>
            <w:tcW w:type="dxa" w:w="10515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Klasa</w:t>
            </w:r>
          </w:p>
        </w:tc>
        <w:tc>
          <w:tcPr>
            <w:tcW w:type="dxa" w:w="109728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Cykl zakupu</w:t>
            </w:r>
          </w:p>
        </w:tc>
        <w:tc>
          <w:tcPr>
            <w:tcW w:type="dxa" w:w="274320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Rola handlowa</w:t>
            </w:r>
          </w:p>
        </w:tc>
        <w:tc>
          <w:tcPr>
            <w:tcW w:type="dxa" w:w="10515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Wrażliwość</w:t>
            </w:r>
          </w:p>
        </w:tc>
        <w:tc>
          <w:tcPr>
            <w:tcW w:type="dxa" w:w="169164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Kategoria sklepu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Papierośnica metalowa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przechowywanie gotowych papierosów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niska-średnia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Papierośnice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Papierośnica skórzana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przechowywanie gotowego produktu premium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niska-średnia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Papierośnice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Etui kieszonkowe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przenośne przechowywanie gotowego produktu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niska-średnia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Papierośnice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Pudełko na gotowe papierosy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przechowywanie domowe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niska-średnia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Papierośnice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Dozownik papierosów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dodatek użytkowy lub ekspozycyjny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niska-średnia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Dozowniki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Ustnik / lufka papierosowa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używany podczas palenia, nie przygotowania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Ustniki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Zapalniczka jednorazowa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dodatek przy kasie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niska-średnia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Zapalniczki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Zapalniczka gazowa wielorazowa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ogólne akcesorium dla palacza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niska-średnia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Zapalniczki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Zapalniczka żarowa / palnikowa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produkt bliższy cygarom i fajkom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niska-średnia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Zapalniczki specjalne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Gaz butanowy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konserwacja zapalniczki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Gaz do zapalniczek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Kamienie i knoty do zapalniczek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konserwacja zapalniczki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Części do zapalniczek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Zapałki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ogólne akcesorium do zapalania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Zapałki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Popielniczka stołowa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używane po zapaleniu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niska-średnia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Popielniczki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Popielniczka kieszonkowa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przenośne zbieranie odpadów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niska-średnia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Popielniczki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Popielniczka samochodowa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akcesorium samochodowe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niska-średnia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Popielniczki samochodowe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Popielniczka wiatroodporna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akcesorium do użytku na zewnątrz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niska-średnia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Popielniczki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Organizer do szuflady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przechowywanie różnych akcesoriów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Organizacja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Pojemnik / kosz na akcesoria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organizacja zaplecza lub domu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Organizacja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Torba transportowa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transport różnych akcesoriów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Torby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Karta aromatyzująca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8DDF4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WARUNKOWE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wysoka wrażliwość prawna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Akcesoria specjalne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Kapsułki mentolowe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8DDF4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WARUNKOWE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wysoka wrażliwość prawna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bardzo 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Akcesoria specjalne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Płyn aromatyzujący do tytoniu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8DDF4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WARUNKOWE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wysokie ryzyko prawne i bezpieczeństwa produktu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bardzo 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Akcesoria specjalne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Ozdobne puszki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dodatek prezentowy lub do przechowywania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niska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Puszki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Zestawy prezentowe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OGÓLNE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zestaw sprzedażowy - ryzyko promocji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Zestawy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</w:pPr>
      <w:r>
        <w:t>Produkty poza ekosystemem nabijarek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1656"/>
        <w:gridCol w:w="1728"/>
        <w:gridCol w:w="4320"/>
        <w:gridCol w:w="1656"/>
        <w:gridCol w:w="2664"/>
      </w:tblGrid>
      <w:tr>
        <w:trPr>
          <w:tblHeader w:val="true"/>
        </w:trPr>
        <w:tc>
          <w:tcPr>
            <w:tcW w:type="dxa" w:w="19659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Produkt</w:t>
            </w:r>
          </w:p>
        </w:tc>
        <w:tc>
          <w:tcPr>
            <w:tcW w:type="dxa" w:w="10515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Klasa</w:t>
            </w:r>
          </w:p>
        </w:tc>
        <w:tc>
          <w:tcPr>
            <w:tcW w:type="dxa" w:w="109728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Cykl zakupu</w:t>
            </w:r>
          </w:p>
        </w:tc>
        <w:tc>
          <w:tcPr>
            <w:tcW w:type="dxa" w:w="274320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Rola handlowa</w:t>
            </w:r>
          </w:p>
        </w:tc>
        <w:tc>
          <w:tcPr>
            <w:tcW w:type="dxa" w:w="105156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Wrażliwość</w:t>
            </w:r>
          </w:p>
        </w:tc>
        <w:tc>
          <w:tcPr>
            <w:tcW w:type="dxa" w:w="1691640"/>
            <w:shd w:fill="18324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Kategoria sklepu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Fajki tytoniowe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POZA EKOSYSTEMEM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odrębny system używania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Fajki - osobna kategoria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Bonga / fajki wodne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POZA EKOSYSTEMEM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odrębny materiał i sposób użycia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Wykluczyć lub wydzielić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Szisze / hookah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POZA EKOSYSTEMEM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odrębny system używania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Osobna kategoria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Grindery do suszu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POZA EKOSYSTEMEM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zwykle element przygotowania suszu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Wykluczyć z ekosystemu nabijarek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Akcesoria do cygar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POZA EKOSYSTEMEM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trwały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ekosystem specyficzny dla cygar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średnia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Osobna kategoria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Papierosy elektroniczne i liquidy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POZA EKOSYSTEMEM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cykliczny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odrębny, regulowany ekosystem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bardzo 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Osobna kategoria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Akcesoria do podgrzewaczy tytoniu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POZA EKOSYSTEMEM</w:t>
            </w:r>
          </w:p>
        </w:tc>
        <w:tc>
          <w:tcPr>
            <w:tcW w:type="dxa" w:w="17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zakup okazjonalny</w:t>
            </w:r>
          </w:p>
        </w:tc>
        <w:tc>
          <w:tcPr>
            <w:tcW w:type="dxa" w:w="432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odrębny ekosystem urządzeń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 w:val="0"/>
                <w:color w:val="243342"/>
                <w:sz w:val="15"/>
              </w:rPr>
              <w:t>bardzo wysoka</w:t>
            </w:r>
          </w:p>
        </w:tc>
        <w:tc>
          <w:tcPr>
            <w:tcW w:type="dxa" w:w="266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Osobna kategoria</w:t>
            </w:r>
          </w:p>
        </w:tc>
      </w:tr>
    </w:tbl>
    <w:p>
      <w:pPr>
        <w:spacing w:after="0"/>
      </w:pPr>
    </w:p>
    <w:p>
      <w:pPr>
        <w:sectPr>
          <w:headerReference w:type="default" r:id="rId32"/>
          <w:footerReference w:type="default" r:id="rId33"/>
          <w:pgSz w:w="15840" w:h="12240" w:orient="landscape"/>
          <w:pgMar w:top="720" w:right="720" w:bottom="720" w:left="720" w:header="360" w:footer="360" w:gutter="0"/>
          <w:cols w:space="720"/>
          <w:titlePg/>
          <w:docGrid w:linePitch="360"/>
        </w:sectPr>
      </w:pPr>
    </w:p>
    <w:p>
      <w:pPr>
        <w:pStyle w:val="Heading1"/>
        <w:spacing w:before="200" w:after="100"/>
      </w:pPr>
      <w:r>
        <w:t>Co należy do ekosystemu nabijarek, a co powinno pozostać osobno</w:t>
      </w:r>
    </w:p>
    <w:p>
      <w:pPr>
        <w:pStyle w:val="Heading2"/>
        <w:spacing w:before="120" w:after="100"/>
      </w:pPr>
      <w:r>
        <w:t>Rdzeń ekosystemu</w:t>
      </w:r>
    </w:p>
    <w:p>
      <w:pPr>
        <w:pStyle w:val="ListBullet"/>
      </w:pPr>
      <w:r>
        <w:t>Nabijarki ręczne, stołowe, elektryczne, automatyczne, przenośne i dopasowane do określonych formatów.</w:t>
      </w:r>
    </w:p>
    <w:p>
      <w:pPr>
        <w:pStyle w:val="ListBullet"/>
      </w:pPr>
      <w:r>
        <w:t>Kompatybilne gilzy: standard 84 mm, 100 mm, Slim, z długim filtrem oraz inne formaty potwierdzone dla danego modelu.</w:t>
      </w:r>
    </w:p>
    <w:p>
      <w:pPr>
        <w:pStyle w:val="ListBullet"/>
      </w:pPr>
      <w:r>
        <w:t>Legalnie oferowany, odpowiednio cięty tytoń do nabijania.</w:t>
      </w:r>
    </w:p>
    <w:p>
      <w:pPr>
        <w:pStyle w:val="ListBullet"/>
      </w:pPr>
      <w:r>
        <w:t>Akcesoria do czyszczenia i zatwierdzone przez producenta elementy serwisowe.</w:t>
      </w:r>
    </w:p>
    <w:p>
      <w:pPr>
        <w:pStyle w:val="ListBullet"/>
      </w:pPr>
      <w:r>
        <w:t>Części właściwe dla modelu: uchwyty gilzy, tłoki, sprężyny, zasobniki, tacki, zasilacze i uchwyty.</w:t>
      </w:r>
    </w:p>
    <w:p>
      <w:pPr>
        <w:pStyle w:val="ListBullet"/>
      </w:pPr>
      <w:r>
        <w:t>Produkty wspierające przechowywanie i wilgotność: pojemniki hermetyczne, higrometry, miarki, lejki i tacki przygotowawcze.</w:t>
      </w:r>
    </w:p>
    <w:p>
      <w:pPr>
        <w:pStyle w:val="Heading2"/>
        <w:spacing w:before="120" w:after="100"/>
      </w:pPr>
      <w:r>
        <w:t>Granica: ten sam odbiorca, inny proces</w:t>
      </w:r>
    </w:p>
    <w:p>
      <w:r>
        <w:t>Bibułki, filtry luzem, tipsy, ręczne maszynki oraz tacki należą do szerszego obszaru „samodzielne przygotowanie papierosów / RYO”. Powinny być dostępne jako sprzedaż uzupełniająca, ale nie należy przedstawiać ich jako części lub akcesoriów do nabijarek.</w:t>
      </w:r>
    </w:p>
    <w:p>
      <w:pPr>
        <w:pStyle w:val="Heading2"/>
        <w:spacing w:before="120" w:after="100"/>
      </w:pPr>
      <w:r>
        <w:t>Produkty, których nie należy mieszać z kategorią nabijarek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5832"/>
      </w:tblGrid>
      <w:tr>
        <w:trPr>
          <w:tblHeader w:val="true"/>
        </w:trPr>
        <w:tc>
          <w:tcPr>
            <w:tcW w:type="dxa" w:w="2194560"/>
            <w:shd w:fill="18324A"/>
          </w:tcPr>
          <w:p>
            <w:r>
              <w:rPr>
                <w:b/>
                <w:color w:val="FFFFFF"/>
                <w:sz w:val="18"/>
              </w:rPr>
              <w:t>Grupa produktu</w:t>
            </w:r>
          </w:p>
        </w:tc>
        <w:tc>
          <w:tcPr>
            <w:tcW w:type="dxa" w:w="3703320"/>
            <w:shd w:fill="18324A"/>
          </w:tcPr>
          <w:p>
            <w:r>
              <w:rPr>
                <w:b/>
                <w:color w:val="FFFFFF"/>
                <w:sz w:val="18"/>
              </w:rPr>
              <w:t>Dlaczego nie jest elementem nabijania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F4CCCC"/>
          </w:tcPr>
          <w:p>
            <w:r>
              <w:rPr>
                <w:b/>
                <w:color w:val="243342"/>
                <w:sz w:val="17"/>
              </w:rPr>
              <w:t>Zapalniczki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7"/>
              </w:rPr>
              <w:t>Używane po przygotowaniu papierosa; nie są potrzebne do napełnienia gilzy.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F4CCCC"/>
          </w:tcPr>
          <w:p>
            <w:r>
              <w:rPr>
                <w:b/>
                <w:color w:val="243342"/>
                <w:sz w:val="17"/>
              </w:rPr>
              <w:t>Gaz, kamienie i knoty do zapalniczek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7"/>
              </w:rPr>
              <w:t>Służą do utrzymania zapalniczki, nie nabijarki.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F4CCCC"/>
          </w:tcPr>
          <w:p>
            <w:r>
              <w:rPr>
                <w:b/>
                <w:color w:val="243342"/>
                <w:sz w:val="17"/>
              </w:rPr>
              <w:t>Popielniczki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7"/>
              </w:rPr>
              <w:t>Akcesoria do odpadów używane po zapaleniu.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F4CCCC"/>
          </w:tcPr>
          <w:p>
            <w:r>
              <w:rPr>
                <w:b/>
                <w:color w:val="243342"/>
                <w:sz w:val="17"/>
              </w:rPr>
              <w:t>Papierośnice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7"/>
              </w:rPr>
              <w:t>Przechowują wyłącznie gotowe papierosy.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F4CCCC"/>
          </w:tcPr>
          <w:p>
            <w:r>
              <w:rPr>
                <w:b/>
                <w:color w:val="243342"/>
                <w:sz w:val="17"/>
              </w:rPr>
              <w:t>Ustniki i lufki papierosowe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7"/>
              </w:rPr>
              <w:t>Używane podczas palenia, bez funkcji przygotowawczej.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F4CCCC"/>
          </w:tcPr>
          <w:p>
            <w:r>
              <w:rPr>
                <w:b/>
                <w:color w:val="243342"/>
                <w:sz w:val="17"/>
              </w:rPr>
              <w:t>Fajki, bonga i szisze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7"/>
              </w:rPr>
              <w:t>Odrębne systemy używania.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F4CCCC"/>
          </w:tcPr>
          <w:p>
            <w:r>
              <w:rPr>
                <w:b/>
                <w:color w:val="243342"/>
                <w:sz w:val="17"/>
              </w:rPr>
              <w:t>Grindery do suszu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7"/>
              </w:rPr>
              <w:t>Najczęściej należą do procesu przygotowania suszu, nie do nabijania gilz.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F4CCCC"/>
          </w:tcPr>
          <w:p>
            <w:r>
              <w:rPr>
                <w:b/>
                <w:color w:val="243342"/>
                <w:sz w:val="17"/>
              </w:rPr>
              <w:t>E-papierosy i podgrzewacze tytoniu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7"/>
              </w:rPr>
              <w:t>Całkowicie odrębne, regulowane ekosystemy urządzeń.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t>Priorytety sprzedaży uzupełniającej i zakupów powtarzalnych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000"/>
      </w:tblGrid>
      <w:tr>
        <w:tc>
          <w:tcPr>
            <w:tcW w:type="dxa" w:w="5184"/>
            <w:shd w:fill="D3A4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84"/>
            <w:shd w:fill="F6E6A8"/>
            <w:tcBorders>
              <w:top w:val="single" w:sz="5" w:color="D8DEE5"/>
              <w:left w:val="nil"/>
              <w:bottom w:val="single" w:sz="5" w:color="D8DEE5"/>
              <w:right w:val="single" w:sz="5" w:color="D8DEE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1"/>
              </w:rPr>
              <w:t>Uwaga interpretacyjna</w:t>
            </w:r>
          </w:p>
          <w:p>
            <w:pPr>
              <w:spacing w:after="0"/>
            </w:pPr>
            <w:r>
              <w:rPr>
                <w:color w:val="243342"/>
                <w:sz w:val="19"/>
              </w:rPr>
              <w:t>Publiczne katalogi pokazują, które produkty są zwykle oferowane razem, ale nie pozwalają wiarygodnie porównać wolumenów sprzedaży między sprzedawcami. Poniższy ranking jest praktycznym modelem zarządzania ofertą, a nie zestawieniem audytowanej sprzedaży.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1800"/>
        <w:gridCol w:w="1181"/>
        <w:gridCol w:w="1872"/>
        <w:gridCol w:w="2808"/>
        <w:gridCol w:w="1152"/>
      </w:tblGrid>
      <w:tr>
        <w:trPr>
          <w:tblHeader w:val="true"/>
        </w:trPr>
        <w:tc>
          <w:tcPr>
            <w:tcW w:type="dxa" w:w="384048"/>
            <w:shd w:fill="18324A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143000"/>
            <w:shd w:fill="18324A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Kategoria</w:t>
            </w:r>
          </w:p>
        </w:tc>
        <w:tc>
          <w:tcPr>
            <w:tcW w:type="dxa" w:w="749808"/>
            <w:shd w:fill="18324A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Klasa</w:t>
            </w:r>
          </w:p>
        </w:tc>
        <w:tc>
          <w:tcPr>
            <w:tcW w:type="dxa" w:w="1188720"/>
            <w:shd w:fill="18324A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Logika zakupu</w:t>
            </w:r>
          </w:p>
        </w:tc>
        <w:tc>
          <w:tcPr>
            <w:tcW w:type="dxa" w:w="1783080"/>
            <w:shd w:fill="18324A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Zastosowanie handlowe</w:t>
            </w:r>
          </w:p>
        </w:tc>
        <w:tc>
          <w:tcPr>
            <w:tcW w:type="dxa" w:w="731520"/>
            <w:shd w:fill="18324A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605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/>
                <w:color w:val="243342"/>
                <w:sz w:val="14"/>
              </w:rPr>
              <w:t>1</w:t>
            </w:r>
          </w:p>
        </w:tc>
        <w:tc>
          <w:tcPr>
            <w:tcW w:type="dxa" w:w="1800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4"/>
              </w:rPr>
              <w:t>Gilzy papierosowe</w:t>
            </w:r>
          </w:p>
        </w:tc>
        <w:tc>
          <w:tcPr>
            <w:tcW w:type="dxa" w:w="1181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4"/>
              </w:rPr>
              <w:t>RDZEŃ</w:t>
            </w:r>
          </w:p>
        </w:tc>
        <w:tc>
          <w:tcPr>
            <w:tcW w:type="dxa" w:w="187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bardzo wysoki potencjał powtarzalności</w:t>
            </w:r>
          </w:p>
        </w:tc>
        <w:tc>
          <w:tcPr>
            <w:tcW w:type="dxa" w:w="2808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Filtrowanie po długości, średnicy, typie filtra i kompatybilnym modelu.</w:t>
            </w:r>
          </w:p>
        </w:tc>
        <w:tc>
          <w:tcPr>
            <w:tcW w:type="dxa" w:w="115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kompatybilność krytyczna</w:t>
            </w:r>
          </w:p>
        </w:tc>
      </w:tr>
      <w:tr>
        <w:trPr>
          <w:cantSplit/>
        </w:trPr>
        <w:tc>
          <w:tcPr>
            <w:tcW w:type="dxa" w:w="605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/>
                <w:color w:val="243342"/>
                <w:sz w:val="14"/>
              </w:rPr>
              <w:t>2</w:t>
            </w:r>
          </w:p>
        </w:tc>
        <w:tc>
          <w:tcPr>
            <w:tcW w:type="dxa" w:w="1800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4"/>
              </w:rPr>
              <w:t>Odpowiedni tytoń do nabijania</w:t>
            </w:r>
          </w:p>
        </w:tc>
        <w:tc>
          <w:tcPr>
            <w:tcW w:type="dxa" w:w="1181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4"/>
              </w:rPr>
              <w:t>RDZEŃ</w:t>
            </w:r>
          </w:p>
        </w:tc>
        <w:tc>
          <w:tcPr>
            <w:tcW w:type="dxa" w:w="187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bardzo wysoki potencjał powtarzalności</w:t>
            </w:r>
          </w:p>
        </w:tc>
        <w:tc>
          <w:tcPr>
            <w:tcW w:type="dxa" w:w="2808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Najwyższa wrażliwość prawna, wiekowa i akcyzowa; osobna weryfikacja kanału sprzedaży.</w:t>
            </w:r>
          </w:p>
        </w:tc>
        <w:tc>
          <w:tcPr>
            <w:tcW w:type="dxa" w:w="115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produkt regulowany</w:t>
            </w:r>
          </w:p>
        </w:tc>
      </w:tr>
      <w:tr>
        <w:trPr>
          <w:cantSplit/>
        </w:trPr>
        <w:tc>
          <w:tcPr>
            <w:tcW w:type="dxa" w:w="605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/>
                <w:color w:val="243342"/>
                <w:sz w:val="14"/>
              </w:rPr>
              <w:t>3</w:t>
            </w:r>
          </w:p>
        </w:tc>
        <w:tc>
          <w:tcPr>
            <w:tcW w:type="dxa" w:w="1800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4"/>
              </w:rPr>
              <w:t>Szczoteczki i wyciory</w:t>
            </w:r>
          </w:p>
        </w:tc>
        <w:tc>
          <w:tcPr>
            <w:tcW w:type="dxa" w:w="1181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4"/>
              </w:rPr>
              <w:t>RDZEŃ</w:t>
            </w:r>
          </w:p>
        </w:tc>
        <w:tc>
          <w:tcPr>
            <w:tcW w:type="dxa" w:w="187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silny dodatek do sprzedaży urządzenia</w:t>
            </w:r>
          </w:p>
        </w:tc>
        <w:tc>
          <w:tcPr>
            <w:tcW w:type="dxa" w:w="2808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Niski koszt, instrukcja konserwacji i jasna informacja o kompatybilności.</w:t>
            </w:r>
          </w:p>
        </w:tc>
        <w:tc>
          <w:tcPr>
            <w:tcW w:type="dxa" w:w="115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produkt uzupełniający</w:t>
            </w:r>
          </w:p>
        </w:tc>
      </w:tr>
      <w:tr>
        <w:trPr>
          <w:cantSplit/>
        </w:trPr>
        <w:tc>
          <w:tcPr>
            <w:tcW w:type="dxa" w:w="605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/>
                <w:color w:val="243342"/>
                <w:sz w:val="14"/>
              </w:rPr>
              <w:t>4</w:t>
            </w:r>
          </w:p>
        </w:tc>
        <w:tc>
          <w:tcPr>
            <w:tcW w:type="dxa" w:w="1800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4"/>
              </w:rPr>
              <w:t>Hermetyczne przechowywanie tytoniu</w:t>
            </w:r>
          </w:p>
        </w:tc>
        <w:tc>
          <w:tcPr>
            <w:tcW w:type="dxa" w:w="1181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4"/>
              </w:rPr>
              <w:t>WSPARCIE</w:t>
            </w:r>
          </w:p>
        </w:tc>
        <w:tc>
          <w:tcPr>
            <w:tcW w:type="dxa" w:w="187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silny sprzedaż uzupełniająca</w:t>
            </w:r>
          </w:p>
        </w:tc>
        <w:tc>
          <w:tcPr>
            <w:tcW w:type="dxa" w:w="2808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Przydatne dla klientów nabijarek i RYO.</w:t>
            </w:r>
          </w:p>
        </w:tc>
        <w:tc>
          <w:tcPr>
            <w:tcW w:type="dxa" w:w="115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produkt uzupełniający</w:t>
            </w:r>
          </w:p>
        </w:tc>
      </w:tr>
      <w:tr>
        <w:trPr>
          <w:cantSplit/>
        </w:trPr>
        <w:tc>
          <w:tcPr>
            <w:tcW w:type="dxa" w:w="605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/>
                <w:color w:val="243342"/>
                <w:sz w:val="14"/>
              </w:rPr>
              <w:t>5</w:t>
            </w:r>
          </w:p>
        </w:tc>
        <w:tc>
          <w:tcPr>
            <w:tcW w:type="dxa" w:w="1800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4"/>
              </w:rPr>
              <w:t>Produkty regulujące wilgotność</w:t>
            </w:r>
          </w:p>
        </w:tc>
        <w:tc>
          <w:tcPr>
            <w:tcW w:type="dxa" w:w="1181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pPr>
              <w:jc w:val="center"/>
            </w:pPr>
            <w:r>
              <w:rPr>
                <w:b w:val="0"/>
                <w:color w:val="243342"/>
                <w:sz w:val="14"/>
              </w:rPr>
              <w:t>WSPARCIE</w:t>
            </w:r>
          </w:p>
        </w:tc>
        <w:tc>
          <w:tcPr>
            <w:tcW w:type="dxa" w:w="187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zakup powtarzalny lub sezonowy</w:t>
            </w:r>
          </w:p>
        </w:tc>
        <w:tc>
          <w:tcPr>
            <w:tcW w:type="dxa" w:w="2808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Wymagają ostrożnych instrukcji; zbyt duża wilgotność może pogorszyć nabijanie.</w:t>
            </w:r>
          </w:p>
        </w:tc>
        <w:tc>
          <w:tcPr>
            <w:tcW w:type="dxa" w:w="115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produkt uzupełniający</w:t>
            </w:r>
          </w:p>
        </w:tc>
      </w:tr>
      <w:tr>
        <w:trPr>
          <w:cantSplit/>
        </w:trPr>
        <w:tc>
          <w:tcPr>
            <w:tcW w:type="dxa" w:w="605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/>
                <w:color w:val="243342"/>
                <w:sz w:val="14"/>
              </w:rPr>
              <w:t>6</w:t>
            </w:r>
          </w:p>
        </w:tc>
        <w:tc>
          <w:tcPr>
            <w:tcW w:type="dxa" w:w="1800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4"/>
              </w:rPr>
              <w:t>Części eksploatacyjne</w:t>
            </w:r>
          </w:p>
        </w:tc>
        <w:tc>
          <w:tcPr>
            <w:tcW w:type="dxa" w:w="1181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DDEFEA"/>
          </w:tcPr>
          <w:p>
            <w:pPr>
              <w:jc w:val="center"/>
            </w:pPr>
            <w:r>
              <w:rPr>
                <w:b w:val="0"/>
                <w:color w:val="243342"/>
                <w:sz w:val="14"/>
              </w:rPr>
              <w:t>RDZEŃ</w:t>
            </w:r>
          </w:p>
        </w:tc>
        <w:tc>
          <w:tcPr>
            <w:tcW w:type="dxa" w:w="187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retencja posprzedażowa</w:t>
            </w:r>
          </w:p>
        </w:tc>
        <w:tc>
          <w:tcPr>
            <w:tcW w:type="dxa" w:w="2808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Niezbędne dopasowanie do marki i modelu.</w:t>
            </w:r>
          </w:p>
        </w:tc>
        <w:tc>
          <w:tcPr>
            <w:tcW w:type="dxa" w:w="115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kompatybilność krytyczna</w:t>
            </w:r>
          </w:p>
        </w:tc>
      </w:tr>
      <w:tr>
        <w:trPr>
          <w:cantSplit/>
        </w:trPr>
        <w:tc>
          <w:tcPr>
            <w:tcW w:type="dxa" w:w="605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/>
                <w:color w:val="243342"/>
                <w:sz w:val="14"/>
              </w:rPr>
              <w:t>7</w:t>
            </w:r>
          </w:p>
        </w:tc>
        <w:tc>
          <w:tcPr>
            <w:tcW w:type="dxa" w:w="1800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4"/>
              </w:rPr>
              <w:t>Bibułki i filtry luzem</w:t>
            </w:r>
          </w:p>
        </w:tc>
        <w:tc>
          <w:tcPr>
            <w:tcW w:type="dxa" w:w="1181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4"/>
              </w:rPr>
              <w:t>RYO</w:t>
            </w:r>
          </w:p>
        </w:tc>
        <w:tc>
          <w:tcPr>
            <w:tcW w:type="dxa" w:w="187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potencjał powtarzalny</w:t>
            </w:r>
          </w:p>
        </w:tc>
        <w:tc>
          <w:tcPr>
            <w:tcW w:type="dxa" w:w="2808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Oddzielna kategoria RYO; sprzedaż uzupełniająca jako alternatywna metoda.</w:t>
            </w:r>
          </w:p>
        </w:tc>
        <w:tc>
          <w:tcPr>
            <w:tcW w:type="dxa" w:w="115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drugorzędne</w:t>
            </w:r>
          </w:p>
        </w:tc>
      </w:tr>
      <w:tr>
        <w:trPr>
          <w:cantSplit/>
        </w:trPr>
        <w:tc>
          <w:tcPr>
            <w:tcW w:type="dxa" w:w="605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/>
                <w:color w:val="243342"/>
                <w:sz w:val="14"/>
              </w:rPr>
              <w:t>8</w:t>
            </w:r>
          </w:p>
        </w:tc>
        <w:tc>
          <w:tcPr>
            <w:tcW w:type="dxa" w:w="1800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4"/>
              </w:rPr>
              <w:t>Tacki i maty przygotowawcze</w:t>
            </w:r>
          </w:p>
        </w:tc>
        <w:tc>
          <w:tcPr>
            <w:tcW w:type="dxa" w:w="1181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E6A8"/>
          </w:tcPr>
          <w:p>
            <w:pPr>
              <w:jc w:val="center"/>
            </w:pPr>
            <w:r>
              <w:rPr>
                <w:b w:val="0"/>
                <w:color w:val="243342"/>
                <w:sz w:val="14"/>
              </w:rPr>
              <w:t>RYO</w:t>
            </w:r>
          </w:p>
        </w:tc>
        <w:tc>
          <w:tcPr>
            <w:tcW w:type="dxa" w:w="187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umiarkowany wzrost koszyka</w:t>
            </w:r>
          </w:p>
        </w:tc>
        <w:tc>
          <w:tcPr>
            <w:tcW w:type="dxa" w:w="2808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Przydatne stanowisko pracy, ale niekonieczne do nabijania.</w:t>
            </w:r>
          </w:p>
        </w:tc>
        <w:tc>
          <w:tcPr>
            <w:tcW w:type="dxa" w:w="115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drugorzędne</w:t>
            </w:r>
          </w:p>
        </w:tc>
      </w:tr>
      <w:tr>
        <w:trPr>
          <w:cantSplit/>
        </w:trPr>
        <w:tc>
          <w:tcPr>
            <w:tcW w:type="dxa" w:w="605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/>
                <w:color w:val="243342"/>
                <w:sz w:val="14"/>
              </w:rPr>
              <w:t>9</w:t>
            </w:r>
          </w:p>
        </w:tc>
        <w:tc>
          <w:tcPr>
            <w:tcW w:type="dxa" w:w="1800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4"/>
              </w:rPr>
              <w:t>Papierośnice i saszetki</w:t>
            </w:r>
          </w:p>
        </w:tc>
        <w:tc>
          <w:tcPr>
            <w:tcW w:type="dxa" w:w="1181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4"/>
              </w:rPr>
              <w:t>OGÓLNE</w:t>
            </w:r>
          </w:p>
        </w:tc>
        <w:tc>
          <w:tcPr>
            <w:tcW w:type="dxa" w:w="187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umiarkowany wzrost koszyka</w:t>
            </w:r>
          </w:p>
        </w:tc>
        <w:tc>
          <w:tcPr>
            <w:tcW w:type="dxa" w:w="2808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Przechowywanie gotowych papierosów lub tytoniu.</w:t>
            </w:r>
          </w:p>
        </w:tc>
        <w:tc>
          <w:tcPr>
            <w:tcW w:type="dxa" w:w="115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drugorzędne</w:t>
            </w:r>
          </w:p>
        </w:tc>
      </w:tr>
      <w:tr>
        <w:trPr>
          <w:cantSplit/>
        </w:trPr>
        <w:tc>
          <w:tcPr>
            <w:tcW w:type="dxa" w:w="605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/>
                <w:color w:val="243342"/>
                <w:sz w:val="14"/>
              </w:rPr>
              <w:t>10</w:t>
            </w:r>
          </w:p>
        </w:tc>
        <w:tc>
          <w:tcPr>
            <w:tcW w:type="dxa" w:w="1800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4"/>
              </w:rPr>
              <w:t>Zapalniczki i gaz</w:t>
            </w:r>
          </w:p>
        </w:tc>
        <w:tc>
          <w:tcPr>
            <w:tcW w:type="dxa" w:w="1181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4"/>
              </w:rPr>
              <w:t>OGÓLNE</w:t>
            </w:r>
          </w:p>
        </w:tc>
        <w:tc>
          <w:tcPr>
            <w:tcW w:type="dxa" w:w="187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dodatek przy kasie</w:t>
            </w:r>
          </w:p>
        </w:tc>
        <w:tc>
          <w:tcPr>
            <w:tcW w:type="dxa" w:w="2808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Nie przedstawiać jako zestawu mającego stymulować konsumpcję tytoniu.</w:t>
            </w:r>
          </w:p>
        </w:tc>
        <w:tc>
          <w:tcPr>
            <w:tcW w:type="dxa" w:w="115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drugorzędne</w:t>
            </w:r>
          </w:p>
        </w:tc>
      </w:tr>
      <w:tr>
        <w:trPr>
          <w:cantSplit/>
        </w:trPr>
        <w:tc>
          <w:tcPr>
            <w:tcW w:type="dxa" w:w="605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center"/>
            </w:pPr>
            <w:r>
              <w:rPr>
                <w:b/>
                <w:color w:val="243342"/>
                <w:sz w:val="14"/>
              </w:rPr>
              <w:t>11</w:t>
            </w:r>
          </w:p>
        </w:tc>
        <w:tc>
          <w:tcPr>
            <w:tcW w:type="dxa" w:w="1800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4"/>
              </w:rPr>
              <w:t>Popielniczki</w:t>
            </w:r>
          </w:p>
        </w:tc>
        <w:tc>
          <w:tcPr>
            <w:tcW w:type="dxa" w:w="1181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 w:val="0"/>
                <w:color w:val="243342"/>
                <w:sz w:val="14"/>
              </w:rPr>
              <w:t>OGÓLNE</w:t>
            </w:r>
          </w:p>
        </w:tc>
        <w:tc>
          <w:tcPr>
            <w:tcW w:type="dxa" w:w="187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zakup okazjonalny</w:t>
            </w:r>
          </w:p>
        </w:tc>
        <w:tc>
          <w:tcPr>
            <w:tcW w:type="dxa" w:w="2808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Wrażliwość reklamowa i promocyjna zależy od kraju.</w:t>
            </w:r>
          </w:p>
        </w:tc>
        <w:tc>
          <w:tcPr>
            <w:tcW w:type="dxa" w:w="115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4"/>
              </w:rPr>
              <w:t>drugorzędne</w:t>
            </w:r>
          </w:p>
        </w:tc>
      </w:tr>
    </w:tbl>
    <w:p>
      <w:pPr>
        <w:pStyle w:val="Heading1"/>
        <w:spacing w:before="200" w:after="100"/>
      </w:pPr>
      <w:r>
        <w:t>Rekomendowana architektura informacji sklepu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048"/>
      </w:tblGrid>
      <w:tr>
        <w:trPr>
          <w:tblHeader w:val="true"/>
        </w:trPr>
        <w:tc>
          <w:tcPr>
            <w:tcW w:type="dxa" w:w="2057400"/>
            <w:shd w:fill="18324A"/>
          </w:tcPr>
          <w:p>
            <w:r>
              <w:rPr>
                <w:b/>
                <w:color w:val="FFFFFF"/>
                <w:sz w:val="18"/>
              </w:rPr>
              <w:t>Obszar główny</w:t>
            </w:r>
          </w:p>
        </w:tc>
        <w:tc>
          <w:tcPr>
            <w:tcW w:type="dxa" w:w="3840480"/>
            <w:shd w:fill="18324A"/>
          </w:tcPr>
          <w:p>
            <w:r>
              <w:rPr>
                <w:b/>
                <w:color w:val="FFFFFF"/>
                <w:sz w:val="18"/>
              </w:rPr>
              <w:t>Zawartość i cel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E7EFF6"/>
          </w:tcPr>
          <w:p>
            <w:r>
              <w:rPr>
                <w:b/>
                <w:color w:val="243342"/>
                <w:sz w:val="17"/>
              </w:rPr>
              <w:t>1. NABIJANIE PAPIEROSÓW</w:t>
            </w:r>
          </w:p>
        </w:tc>
        <w:tc>
          <w:tcPr>
            <w:tcW w:type="dxa" w:w="6048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7"/>
              </w:rPr>
              <w:t>Nabijarki ręczne, elektryczne, tłokowe i automatyczne; formaty Slim; gilzy 84 mm, 100 mm, Slim i z długim filtrem; filtry kompatybilności.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E7EFF6"/>
          </w:tcPr>
          <w:p>
            <w:r>
              <w:rPr>
                <w:b/>
                <w:color w:val="243342"/>
                <w:sz w:val="17"/>
              </w:rPr>
              <w:t>2. KONSERWACJA I CZĘŚCI</w:t>
            </w:r>
          </w:p>
        </w:tc>
        <w:tc>
          <w:tcPr>
            <w:tcW w:type="dxa" w:w="6048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7"/>
              </w:rPr>
              <w:t>Szczoteczki, wyciory, zestawy czyszczące, końcówki, tłoki, sprężyny, zasobniki, zasilacze oraz części według marki i modelu.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E7EFF6"/>
          </w:tcPr>
          <w:p>
            <w:r>
              <w:rPr>
                <w:b/>
                <w:color w:val="243342"/>
                <w:sz w:val="17"/>
              </w:rPr>
              <w:t>3. TYTOŃ I PRZECHOWYWANIE</w:t>
            </w:r>
          </w:p>
        </w:tc>
        <w:tc>
          <w:tcPr>
            <w:tcW w:type="dxa" w:w="6048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7"/>
              </w:rPr>
              <w:t>Legalnie oferowany tytoń do nabijania; pojemniki hermetyczne, saszetki, nawilżanie, higrometry, miarki i lejki.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E7EFF6"/>
          </w:tcPr>
          <w:p>
            <w:r>
              <w:rPr>
                <w:b/>
                <w:color w:val="243342"/>
                <w:sz w:val="17"/>
              </w:rPr>
              <w:t>4. SKRĘCANIE PAPIEROSÓW / RYO</w:t>
            </w:r>
          </w:p>
        </w:tc>
        <w:tc>
          <w:tcPr>
            <w:tcW w:type="dxa" w:w="6048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7"/>
              </w:rPr>
              <w:t>Bibułki, filtry luzem, tipsy, maszynki do skręcania, tacki i maty. Jest to proces równoległy, nie podkategoria nabijarek.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E7EFF6"/>
          </w:tcPr>
          <w:p>
            <w:r>
              <w:rPr>
                <w:b/>
                <w:color w:val="243342"/>
                <w:sz w:val="17"/>
              </w:rPr>
              <w:t>5. AKCESORIA PALACZA</w:t>
            </w:r>
          </w:p>
        </w:tc>
        <w:tc>
          <w:tcPr>
            <w:tcW w:type="dxa" w:w="6048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7"/>
              </w:rPr>
              <w:t>Zapalniczki, gaz, popielniczki, papierośnice, etui, ustniki oraz produkty organizacyjne.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E7EFF6"/>
          </w:tcPr>
          <w:p>
            <w:r>
              <w:rPr>
                <w:b/>
                <w:color w:val="243342"/>
                <w:sz w:val="17"/>
              </w:rPr>
              <w:t>6. SERWIS I POMOC</w:t>
            </w:r>
          </w:p>
        </w:tc>
        <w:tc>
          <w:tcPr>
            <w:tcW w:type="dxa" w:w="6048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7"/>
              </w:rPr>
              <w:t>Wyszukiwarka kompatybilności, instrukcje czyszczenia, diagnostyka, formularz zamówienia części, gwarancja oraz informacje wiekowe i prawne.</w:t>
            </w:r>
          </w:p>
        </w:tc>
      </w:tr>
    </w:tbl>
    <w:p>
      <w:pPr>
        <w:pStyle w:val="Heading2"/>
        <w:spacing w:before="120" w:after="100"/>
      </w:pPr>
      <w:r>
        <w:t>Rekomendowane filtry produktowe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840"/>
      </w:tblGrid>
      <w:tr>
        <w:trPr>
          <w:cantSplit/>
        </w:trPr>
        <w:tc>
          <w:tcPr>
            <w:tcW w:type="dxa" w:w="2448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3F5F7"/>
          </w:tcPr>
          <w:p>
            <w:r>
              <w:rPr>
                <w:b/>
                <w:color w:val="243342"/>
                <w:sz w:val="16"/>
              </w:rPr>
              <w:t>Typ urządzenia</w:t>
            </w:r>
          </w:p>
        </w:tc>
        <w:tc>
          <w:tcPr>
            <w:tcW w:type="dxa" w:w="6840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6"/>
              </w:rPr>
              <w:t>ręczna, korbkowa, ślimakowa, tłokowa, automatyczna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3F5F7"/>
          </w:tcPr>
          <w:p>
            <w:r>
              <w:rPr>
                <w:b/>
                <w:color w:val="243342"/>
                <w:sz w:val="16"/>
              </w:rPr>
              <w:t>Format gilzy</w:t>
            </w:r>
          </w:p>
        </w:tc>
        <w:tc>
          <w:tcPr>
            <w:tcW w:type="dxa" w:w="6840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6"/>
              </w:rPr>
              <w:t>84 mm, 100 mm, standard, Slim, Extra Slim, długi filtr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3F5F7"/>
          </w:tcPr>
          <w:p>
            <w:r>
              <w:rPr>
                <w:b/>
                <w:color w:val="243342"/>
                <w:sz w:val="16"/>
              </w:rPr>
              <w:t>Kompatybilność</w:t>
            </w:r>
          </w:p>
        </w:tc>
        <w:tc>
          <w:tcPr>
            <w:tcW w:type="dxa" w:w="6840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6"/>
              </w:rPr>
              <w:t>marka i model urządzenia, średnica gilzy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3F5F7"/>
          </w:tcPr>
          <w:p>
            <w:r>
              <w:rPr>
                <w:b/>
                <w:color w:val="243342"/>
                <w:sz w:val="16"/>
              </w:rPr>
              <w:t>Typ filtra</w:t>
            </w:r>
          </w:p>
        </w:tc>
        <w:tc>
          <w:tcPr>
            <w:tcW w:type="dxa" w:w="6840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6"/>
              </w:rPr>
              <w:t>standardowy, długi, węglowy, papierowy/eko, format specjalny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3F5F7"/>
          </w:tcPr>
          <w:p>
            <w:r>
              <w:rPr>
                <w:b/>
                <w:color w:val="243342"/>
                <w:sz w:val="16"/>
              </w:rPr>
              <w:t>Zastosowanie</w:t>
            </w:r>
          </w:p>
        </w:tc>
        <w:tc>
          <w:tcPr>
            <w:tcW w:type="dxa" w:w="6840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6"/>
              </w:rPr>
              <w:t>urządzenie, konserwacja, przechowywanie, alternatywa RYO, akcesorium ogólne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3F5F7"/>
          </w:tcPr>
          <w:p>
            <w:r>
              <w:rPr>
                <w:b/>
                <w:color w:val="243342"/>
                <w:sz w:val="16"/>
              </w:rPr>
              <w:t>Dostępność</w:t>
            </w:r>
          </w:p>
        </w:tc>
        <w:tc>
          <w:tcPr>
            <w:tcW w:type="dxa" w:w="6840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6"/>
              </w:rPr>
              <w:t>w magazynie, na zamówienie, tylko B2B, wycofany, część zamienna</w:t>
            </w:r>
          </w:p>
        </w:tc>
      </w:tr>
    </w:tbl>
    <w:p>
      <w:pPr>
        <w:pStyle w:val="Heading1"/>
        <w:spacing w:before="200" w:after="100"/>
      </w:pPr>
      <w:r>
        <w:t>Zarządzanie ofertą, język sprzedaży i SEO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488"/>
      </w:tblGrid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DDEFEA"/>
          </w:tcPr>
          <w:p>
            <w:pPr>
              <w:jc w:val="center"/>
            </w:pPr>
            <w:r>
              <w:rPr>
                <w:b/>
                <w:color w:val="243342"/>
                <w:sz w:val="17"/>
              </w:rPr>
              <w:t>ZALECANE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7"/>
              </w:rPr>
              <w:t>Nabijarki do gilz; gilzy papierosowe; części do nabijarek; szczoteczki do czyszczenia; pojemniki na tytoń; zapalniczki gazowe; popielniczki metalowe.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F6E6A8"/>
          </w:tcPr>
          <w:p>
            <w:pPr>
              <w:jc w:val="center"/>
            </w:pPr>
            <w:r>
              <w:rPr>
                <w:b/>
                <w:color w:val="243342"/>
                <w:sz w:val="17"/>
              </w:rPr>
              <w:t>OSTROŻNIE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7"/>
              </w:rPr>
              <w:t>Akcesoria do przygotowania papierosów; akcesoria użytkowe dla dorosłych palaczy; opisy oparte na kompatybilności; rzeczowe wymiary i materiały.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F4CCCC"/>
          </w:tcPr>
          <w:p>
            <w:pPr>
              <w:jc w:val="center"/>
            </w:pPr>
            <w:r>
              <w:rPr>
                <w:b/>
                <w:color w:val="243342"/>
                <w:sz w:val="17"/>
              </w:rPr>
              <w:t>UNIKAĆ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7"/>
              </w:rPr>
              <w:t>„Oszczędzaj na paleniu”; „zrób tańsze papierosy już dziś”; wizerunek gloryfikujący palenie; stylistyka młodzieżowa; darmowe prezenty powiązane z tytoniem; agresywne zestawy zwiększające konsumpcję.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000"/>
      </w:tblGrid>
      <w:tr>
        <w:tc>
          <w:tcPr>
            <w:tcW w:type="dxa" w:w="5184"/>
            <w:shd w:fill="223E5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84"/>
            <w:shd w:fill="F3F5F7"/>
            <w:tcBorders>
              <w:top w:val="single" w:sz="5" w:color="D8DEE5"/>
              <w:left w:val="nil"/>
              <w:bottom w:val="single" w:sz="5" w:color="D8DEE5"/>
              <w:right w:val="single" w:sz="5" w:color="D8DEE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1"/>
              </w:rPr>
              <w:t>Zasada nadrzędna</w:t>
            </w:r>
          </w:p>
          <w:p>
            <w:pPr>
              <w:spacing w:after="0"/>
            </w:pPr>
            <w:r>
              <w:rPr>
                <w:color w:val="243342"/>
                <w:sz w:val="19"/>
              </w:rPr>
              <w:t>Widoczność SEO nie ma pierwszeństwa przed prawem tytoniowym, zasadami platform reklamowych, ograniczeniami wiekowymi ani regułami ekspozycji. Karty produktów powinny pozostać rzeczowe i przejść kontrolę zgodności dla każdego rynku.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Obserwacje regulacyjne: Polska, Litwa, Łotwa i 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000"/>
      </w:tblGrid>
      <w:tr>
        <w:tc>
          <w:tcPr>
            <w:tcW w:type="dxa" w:w="5184"/>
            <w:shd w:fill="C94D4D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84"/>
            <w:shd w:fill="F4CCCC"/>
            <w:tcBorders>
              <w:top w:val="single" w:sz="5" w:color="D8DEE5"/>
              <w:left w:val="nil"/>
              <w:bottom w:val="single" w:sz="5" w:color="D8DEE5"/>
              <w:right w:val="single" w:sz="5" w:color="D8DEE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1"/>
              </w:rPr>
              <w:t>Ograniczenie prawne</w:t>
            </w:r>
          </w:p>
          <w:p>
            <w:pPr>
              <w:spacing w:after="0"/>
            </w:pPr>
            <w:r>
              <w:rPr>
                <w:color w:val="243342"/>
                <w:sz w:val="19"/>
              </w:rPr>
              <w:t>Sekcja wskazuje wyłącznie najważniejsze zagadnienia wynikające ze źródeł oficjalnych lub autorytatywnych. Nie jest kompletną opinią prawną. Legalność produktu, licencje, sprzedaż na odległość, weryfikację wieku, akcyzę, ekspozycję, opakowania i reklamę należy sprawdzić osobno dla każdego kraju i rodzaju produktu.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960"/>
        <w:gridCol w:w="3960"/>
      </w:tblGrid>
      <w:tr>
        <w:trPr>
          <w:tblHeader w:val="true"/>
        </w:trPr>
        <w:tc>
          <w:tcPr>
            <w:tcW w:type="dxa" w:w="914400"/>
            <w:shd w:fill="18324A"/>
          </w:tcPr>
          <w:p>
            <w:r>
              <w:rPr>
                <w:b/>
                <w:color w:val="FFFFFF"/>
                <w:sz w:val="16"/>
              </w:rPr>
              <w:t>Rynek</w:t>
            </w:r>
          </w:p>
        </w:tc>
        <w:tc>
          <w:tcPr>
            <w:tcW w:type="dxa" w:w="2514600"/>
            <w:shd w:fill="18324A"/>
          </w:tcPr>
          <w:p>
            <w:r>
              <w:rPr>
                <w:b/>
                <w:color w:val="FFFFFF"/>
                <w:sz w:val="16"/>
              </w:rPr>
              <w:t>Obserwowana zasada lub ryzyko</w:t>
            </w:r>
          </w:p>
        </w:tc>
        <w:tc>
          <w:tcPr>
            <w:tcW w:type="dxa" w:w="2514600"/>
            <w:shd w:fill="18324A"/>
          </w:tcPr>
          <w:p>
            <w:r>
              <w:rPr>
                <w:b/>
                <w:color w:val="FFFFFF"/>
                <w:sz w:val="16"/>
              </w:rPr>
              <w:t>Implikacja operacyjna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r>
              <w:rPr>
                <w:b/>
                <w:color w:val="243342"/>
                <w:sz w:val="15"/>
              </w:rPr>
              <w:t>Polska</w:t>
            </w:r>
          </w:p>
        </w:tc>
        <w:tc>
          <w:tcPr>
            <w:tcW w:type="dxa" w:w="3960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5"/>
              </w:rPr>
              <w:t>Ustawowa definicja „przyborów tytoniowych” nie obejmuje zapalniczek i zapałek, ale obejmuje m.in. papierośnice, bibułki, urządzenia do skręcania, fajki, przyrządy do czyszczenia i napełniania oraz popielniczki. Ograniczenia reklamy i promocji mają szeroki zakres.</w:t>
            </w:r>
          </w:p>
        </w:tc>
        <w:tc>
          <w:tcPr>
            <w:tcW w:type="dxa" w:w="3960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5"/>
              </w:rPr>
              <w:t>Bibułki, urządzenia do skręcania, narzędzia do napełniania i czyszczenia oraz popielniczki traktować jako produkty wysokiej wrażliwości. Brak w definicji nie oznacza automatycznie pełnej swobody dla zapalniczek.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r>
              <w:rPr>
                <w:b/>
                <w:color w:val="243342"/>
                <w:sz w:val="15"/>
              </w:rPr>
              <w:t>Litwa</w:t>
            </w:r>
          </w:p>
        </w:tc>
        <w:tc>
          <w:tcPr>
            <w:tcW w:type="dxa" w:w="3960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5"/>
              </w:rPr>
              <w:t>Krajowe przepisy obejmują produkcję, handel, reklamę, używanie i promocję. Zmiany przyjęte przez Seimas zakazały od 2025 r. publicznej ekspozycji w punktach detalicznych wyrobów tytoniowych, produktów powiązanych i urządzeń.</w:t>
            </w:r>
          </w:p>
        </w:tc>
        <w:tc>
          <w:tcPr>
            <w:tcW w:type="dxa" w:w="3960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5"/>
              </w:rPr>
              <w:t>Przed wdrożeniem ustalić, czy dana nabijarka, gilza lub akcesorium jest traktowane jako „urządzenie” na potrzeby ekspozycji i kanału sprzedaży. Sprawdzić aktualny tekst ustawy oraz wytyczne regulatora.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r>
              <w:rPr>
                <w:b/>
                <w:color w:val="243342"/>
                <w:sz w:val="15"/>
              </w:rPr>
              <w:t>Łotwa</w:t>
            </w:r>
          </w:p>
        </w:tc>
        <w:tc>
          <w:tcPr>
            <w:tcW w:type="dxa" w:w="3960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5"/>
              </w:rPr>
              <w:t>Obowiązują szerokie ograniczenia dotyczące tytoniu i produktów powiązanych. Od 1 stycznia 2025 r. minimalny wiek zakupu i sprzedaży tytoniu oraz wskazanych kategorii powiązanych wynosi 20 lat. Ograniczenia reklamowe są rozbudowane.</w:t>
            </w:r>
          </w:p>
        </w:tc>
        <w:tc>
          <w:tcPr>
            <w:tcW w:type="dxa" w:w="3960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5"/>
              </w:rPr>
              <w:t>Stosować kontrolę wieku i analizę prawną. Nie zakładać identycznego traktowania tytoniu, gilz, nabijarek, zapalniczek i akcesoriów ogólnych.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E7EFF6"/>
          </w:tcPr>
          <w:p>
            <w:r>
              <w:rPr>
                <w:b/>
                <w:color w:val="243342"/>
                <w:sz w:val="15"/>
              </w:rPr>
              <w:t>Unia Europejska</w:t>
            </w:r>
          </w:p>
        </w:tc>
        <w:tc>
          <w:tcPr>
            <w:tcW w:type="dxa" w:w="3960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5"/>
              </w:rPr>
              <w:t>Dyrektywa 2003/33/WE zakazuje transgranicznej reklamy i sponsoringu promującego wyroby tytoniowe w objętych mediach, w tym reklamy internetowej. Przepisy produktowe współdziałają z krajowymi regulacjami akcesoriów.</w:t>
            </w:r>
          </w:p>
        </w:tc>
        <w:tc>
          <w:tcPr>
            <w:tcW w:type="dxa" w:w="3960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5"/>
              </w:rPr>
              <w:t>Transgraniczne SEO, afiliacja, reklama display i zestawy promocyjne wymagają specjalistycznej weryfikacji. Prawo krajowe może być surowsze i inaczej definiować akcesoria.</w:t>
            </w:r>
          </w:p>
        </w:tc>
      </w:tr>
    </w:tbl>
    <w:p>
      <w:pPr>
        <w:pStyle w:val="Heading2"/>
        <w:spacing w:before="120" w:after="100"/>
      </w:pPr>
      <w:r>
        <w:t>Produkty i praktyki podwyższonego ryzyka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584"/>
        <w:gridCol w:w="4896"/>
      </w:tblGrid>
      <w:tr>
        <w:trPr>
          <w:tblHeader w:val="true"/>
        </w:trPr>
        <w:tc>
          <w:tcPr>
            <w:tcW w:type="dxa" w:w="1828800"/>
            <w:shd w:fill="18324A"/>
          </w:tcPr>
          <w:p>
            <w:r>
              <w:rPr>
                <w:b/>
                <w:color w:val="FFFFFF"/>
                <w:sz w:val="17"/>
              </w:rPr>
              <w:t>Produkt lub praktyka</w:t>
            </w:r>
          </w:p>
        </w:tc>
        <w:tc>
          <w:tcPr>
            <w:tcW w:type="dxa" w:w="1005840"/>
            <w:shd w:fill="18324A"/>
          </w:tcPr>
          <w:p>
            <w:r>
              <w:rPr>
                <w:b/>
                <w:color w:val="FFFFFF"/>
                <w:sz w:val="17"/>
              </w:rPr>
              <w:t>Ryzyko</w:t>
            </w:r>
          </w:p>
        </w:tc>
        <w:tc>
          <w:tcPr>
            <w:tcW w:type="dxa" w:w="3108960"/>
            <w:shd w:fill="18324A"/>
          </w:tcPr>
          <w:p>
            <w:r>
              <w:rPr>
                <w:b/>
                <w:color w:val="FFFFFF"/>
                <w:sz w:val="17"/>
              </w:rPr>
              <w:t>Powód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Tytoń aromatyzowany lub mentolowy</w:t>
            </w:r>
          </w:p>
        </w:tc>
        <w:tc>
          <w:tcPr>
            <w:tcW w:type="dxa" w:w="1584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/>
                <w:color w:val="243342"/>
                <w:sz w:val="15"/>
              </w:rPr>
              <w:t>BARDZO WYSOKIE</w:t>
            </w:r>
          </w:p>
        </w:tc>
        <w:tc>
          <w:tcPr>
            <w:tcW w:type="dxa" w:w="489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5"/>
              </w:rPr>
              <w:t>W UE obowiązują ograniczenia dotyczące aromatów charakterystycznych w papierosach i tytoniu do samodzielnego skręcania. Nie wprowadzać bez potwierdzenia dla danego rynku.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Gilzy, bibułki, filtry lub wkłady smakowe/kapsułkowe</w:t>
            </w:r>
          </w:p>
        </w:tc>
        <w:tc>
          <w:tcPr>
            <w:tcW w:type="dxa" w:w="1584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/>
                <w:color w:val="243342"/>
                <w:sz w:val="15"/>
              </w:rPr>
              <w:t>BARDZO WYSOKIE</w:t>
            </w:r>
          </w:p>
        </w:tc>
        <w:tc>
          <w:tcPr>
            <w:tcW w:type="dxa" w:w="489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5"/>
              </w:rPr>
              <w:t>Ocena może zależeć od tego, czy akcesorium umożliwia zmianę aromatu oraz od krajowej implementacji przepisów.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Tytoń sprzedawany online lub transgranicznie</w:t>
            </w:r>
          </w:p>
        </w:tc>
        <w:tc>
          <w:tcPr>
            <w:tcW w:type="dxa" w:w="1584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4CCCC"/>
          </w:tcPr>
          <w:p>
            <w:pPr>
              <w:jc w:val="center"/>
            </w:pPr>
            <w:r>
              <w:rPr>
                <w:b/>
                <w:color w:val="243342"/>
                <w:sz w:val="15"/>
              </w:rPr>
              <w:t>BARDZO WYSOKIE</w:t>
            </w:r>
          </w:p>
        </w:tc>
        <w:tc>
          <w:tcPr>
            <w:tcW w:type="dxa" w:w="489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5"/>
              </w:rPr>
              <w:t>Akcyza, licencje, weryfikacja wieku i ograniczenia sprzedaży na odległość wymagają odrębnej analizy.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Zestawy promocyjne i prezenty</w:t>
            </w:r>
          </w:p>
        </w:tc>
        <w:tc>
          <w:tcPr>
            <w:tcW w:type="dxa" w:w="1584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/>
                <w:color w:val="243342"/>
                <w:sz w:val="15"/>
              </w:rPr>
              <w:t>WYSOKIE</w:t>
            </w:r>
          </w:p>
        </w:tc>
        <w:tc>
          <w:tcPr>
            <w:tcW w:type="dxa" w:w="489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5"/>
              </w:rPr>
              <w:t>Mogą zostać uznane za promocję nawet wtedy, gdy pojedynczy produkt jest legalny w sprzedaży.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Zdjęcia produktowe i treści wizerunkowe</w:t>
            </w:r>
          </w:p>
        </w:tc>
        <w:tc>
          <w:tcPr>
            <w:tcW w:type="dxa" w:w="1584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/>
                <w:color w:val="243342"/>
                <w:sz w:val="15"/>
              </w:rPr>
              <w:t>WYSOKIE</w:t>
            </w:r>
          </w:p>
        </w:tc>
        <w:tc>
          <w:tcPr>
            <w:tcW w:type="dxa" w:w="489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5"/>
              </w:rPr>
              <w:t>Reguły ekspozycji i reklamy zależą od kraju i kanału.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/>
                <w:color w:val="243342"/>
                <w:sz w:val="15"/>
              </w:rPr>
              <w:t>Katalogi B2B</w:t>
            </w:r>
          </w:p>
        </w:tc>
        <w:tc>
          <w:tcPr>
            <w:tcW w:type="dxa" w:w="1584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6D1A7"/>
          </w:tcPr>
          <w:p>
            <w:pPr>
              <w:jc w:val="center"/>
            </w:pPr>
            <w:r>
              <w:rPr>
                <w:b/>
                <w:color w:val="243342"/>
                <w:sz w:val="15"/>
              </w:rPr>
              <w:t>ŚREDNIO-WYSOKIE</w:t>
            </w:r>
          </w:p>
        </w:tc>
        <w:tc>
          <w:tcPr>
            <w:tcW w:type="dxa" w:w="489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pPr>
              <w:jc w:val="left"/>
            </w:pPr>
            <w:r>
              <w:rPr>
                <w:b w:val="0"/>
                <w:color w:val="243342"/>
                <w:sz w:val="15"/>
              </w:rPr>
              <w:t>Polskie prawo przewiduje wyjątek dotyczący informacji handlowej pomiędzy podmiotami produkcji, dystrybucji i handlu, lecz jego zakres wymaga analizy prawnej.</w:t>
            </w:r>
          </w:p>
        </w:tc>
      </w:tr>
    </w:tbl>
    <w:p>
      <w:pPr>
        <w:pStyle w:val="Heading1"/>
        <w:spacing w:before="200" w:after="100"/>
      </w:pPr>
      <w:r>
        <w:t>Lista kontrolna analizy dostawcy i asortymentu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768"/>
      </w:tblGrid>
      <w:tr>
        <w:trPr>
          <w:tblHeader w:val="true"/>
        </w:trPr>
        <w:tc>
          <w:tcPr>
            <w:tcW w:type="dxa" w:w="1600200"/>
            <w:shd w:fill="18324A"/>
          </w:tcPr>
          <w:p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type="dxa" w:w="4297680"/>
            <w:shd w:fill="18324A"/>
          </w:tcPr>
          <w:p>
            <w:r>
              <w:rPr>
                <w:b/>
                <w:color w:val="FFFFFF"/>
                <w:sz w:val="18"/>
              </w:rPr>
              <w:t>Co należy zweryfikować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3F5F7"/>
          </w:tcPr>
          <w:p>
            <w:r>
              <w:rPr>
                <w:b/>
                <w:color w:val="243342"/>
                <w:sz w:val="16"/>
              </w:rPr>
              <w:t>Tożsamość dostawcy</w:t>
            </w:r>
          </w:p>
        </w:tc>
        <w:tc>
          <w:tcPr>
            <w:tcW w:type="dxa" w:w="676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6"/>
              </w:rPr>
              <w:t>Nazwa prawna, kraj, miasto, adres rejestrowy i magazynowy, NIP/VAT oraz numer rejestrowy.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3F5F7"/>
          </w:tcPr>
          <w:p>
            <w:r>
              <w:rPr>
                <w:b/>
                <w:color w:val="243342"/>
                <w:sz w:val="16"/>
              </w:rPr>
              <w:t>Model biznesowy</w:t>
            </w:r>
          </w:p>
        </w:tc>
        <w:tc>
          <w:tcPr>
            <w:tcW w:type="dxa" w:w="676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6"/>
              </w:rPr>
              <w:t>Producent, importer, dystrybutor, hurtownik, detalista-hurtownik, agent, marka własna lub OEM.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3F5F7"/>
          </w:tcPr>
          <w:p>
            <w:r>
              <w:rPr>
                <w:b/>
                <w:color w:val="243342"/>
                <w:sz w:val="16"/>
              </w:rPr>
              <w:t>Kanał</w:t>
            </w:r>
          </w:p>
        </w:tc>
        <w:tc>
          <w:tcPr>
            <w:tcW w:type="dxa" w:w="676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6"/>
              </w:rPr>
              <w:t>Panel B2B, własny sklep B2C, hurtownia stacjonarna, przedstawiciele, sieć partnerska, marketplace lub eksport.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3F5F7"/>
          </w:tcPr>
          <w:p>
            <w:r>
              <w:rPr>
                <w:b/>
                <w:color w:val="243342"/>
                <w:sz w:val="16"/>
              </w:rPr>
              <w:t>Dowód produktu</w:t>
            </w:r>
          </w:p>
        </w:tc>
        <w:tc>
          <w:tcPr>
            <w:tcW w:type="dxa" w:w="676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6"/>
              </w:rPr>
              <w:t>Bezpośrednia karta produktu, aktualny katalog, PDF do pobrania, strona marki lub listing B2B.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3F5F7"/>
          </w:tcPr>
          <w:p>
            <w:r>
              <w:rPr>
                <w:b/>
                <w:color w:val="243342"/>
                <w:sz w:val="16"/>
              </w:rPr>
              <w:t>Dostępność</w:t>
            </w:r>
          </w:p>
        </w:tc>
        <w:tc>
          <w:tcPr>
            <w:tcW w:type="dxa" w:w="676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6"/>
              </w:rPr>
              <w:t>W magazynie, na zamówienie, chwilowo brak, wyłącznie katalogowo, po zalogowaniu B2B lub tylko na zapytanie.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3F5F7"/>
          </w:tcPr>
          <w:p>
            <w:r>
              <w:rPr>
                <w:b/>
                <w:color w:val="243342"/>
                <w:sz w:val="16"/>
              </w:rPr>
              <w:t>Kompatybilność</w:t>
            </w:r>
          </w:p>
        </w:tc>
        <w:tc>
          <w:tcPr>
            <w:tcW w:type="dxa" w:w="676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6"/>
              </w:rPr>
              <w:t>Model urządzenia, długość i średnica gilzy, długość filtra oraz obsługiwany sposób cięcia i wilgotność tytoniu.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3F5F7"/>
          </w:tcPr>
          <w:p>
            <w:r>
              <w:rPr>
                <w:b/>
                <w:color w:val="243342"/>
                <w:sz w:val="16"/>
              </w:rPr>
              <w:t>Zgodność</w:t>
            </w:r>
          </w:p>
        </w:tc>
        <w:tc>
          <w:tcPr>
            <w:tcW w:type="dxa" w:w="676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6"/>
              </w:rPr>
              <w:t>Licencja, ograniczenia wiekowe, akcyza, reguły ekspozycji oraz ograniczenia reklamy.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3F5F7"/>
          </w:tcPr>
          <w:p>
            <w:r>
              <w:rPr>
                <w:b/>
                <w:color w:val="243342"/>
                <w:sz w:val="16"/>
              </w:rPr>
              <w:t>Kontakt</w:t>
            </w:r>
          </w:p>
        </w:tc>
        <w:tc>
          <w:tcPr>
            <w:tcW w:type="dxa" w:w="676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6"/>
              </w:rPr>
              <w:t>Telefon publiczny, e-mail sprzedażowy, formularz hurtowy i imienny kontakt do dystrybutora.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  <w:shd w:fill="F3F5F7"/>
          </w:tcPr>
          <w:p>
            <w:r>
              <w:rPr>
                <w:b/>
                <w:color w:val="243342"/>
                <w:sz w:val="16"/>
              </w:rPr>
              <w:t>Data sprawdzenia</w:t>
            </w:r>
          </w:p>
        </w:tc>
        <w:tc>
          <w:tcPr>
            <w:tcW w:type="dxa" w:w="676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3" w:color="D8DEE5"/>
              <w:left w:val="single" w:sz="3" w:color="D8DEE5"/>
              <w:bottom w:val="single" w:sz="3" w:color="D8DEE5"/>
              <w:right w:val="single" w:sz="3" w:color="D8DEE5"/>
            </w:tcBorders>
          </w:tcPr>
          <w:p>
            <w:r>
              <w:rPr>
                <w:b w:val="0"/>
                <w:color w:val="243342"/>
                <w:sz w:val="16"/>
              </w:rPr>
              <w:t>Zapisywać dokładną datę, ponieważ dostępność, ceny i status prawny mogą się zmieniać.</w:t>
            </w:r>
          </w:p>
        </w:tc>
      </w:tr>
    </w:tbl>
    <w:p>
      <w:pPr>
        <w:pStyle w:val="Heading1"/>
        <w:spacing w:before="200" w:after="100"/>
      </w:pPr>
      <w:r>
        <w:t>Rekomendowany plan wdrożenia - 90 dni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04"/>
        <w:gridCol w:w="5544"/>
      </w:tblGrid>
      <w:tr>
        <w:tc>
          <w:tcPr>
            <w:tcW w:type="dxa" w:w="914400"/>
            <w:shd w:fill="18324A"/>
          </w:tcPr>
          <w:p>
            <w:r>
              <w:rPr>
                <w:b/>
                <w:color w:val="FFFFFF"/>
                <w:sz w:val="18"/>
              </w:rPr>
              <w:t>Okres</w:t>
            </w:r>
          </w:p>
        </w:tc>
        <w:tc>
          <w:tcPr>
            <w:tcW w:type="dxa" w:w="1463040"/>
            <w:shd w:fill="18324A"/>
          </w:tcPr>
          <w:p>
            <w:r>
              <w:rPr>
                <w:b/>
                <w:color w:val="FFFFFF"/>
                <w:sz w:val="18"/>
              </w:rPr>
              <w:t>Priorytet</w:t>
            </w:r>
          </w:p>
        </w:tc>
        <w:tc>
          <w:tcPr>
            <w:tcW w:type="dxa" w:w="3520440"/>
            <w:shd w:fill="18324A"/>
          </w:tcPr>
          <w:p>
            <w:r>
              <w:rPr>
                <w:b/>
                <w:color w:val="FFFFFF"/>
                <w:sz w:val="18"/>
              </w:rPr>
              <w:t>Rezultat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DDEFEA"/>
          </w:tcPr>
          <w:p>
            <w:r>
              <w:rPr>
                <w:b/>
                <w:color w:val="243342"/>
                <w:sz w:val="17"/>
              </w:rPr>
              <w:t>0-30 dni</w:t>
            </w:r>
          </w:p>
        </w:tc>
        <w:tc>
          <w:tcPr>
            <w:tcW w:type="dxa" w:w="2304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/>
                <w:color w:val="243342"/>
                <w:sz w:val="17"/>
              </w:rPr>
              <w:t>Porządek w katalogu</w:t>
            </w:r>
          </w:p>
        </w:tc>
        <w:tc>
          <w:tcPr>
            <w:tcW w:type="dxa" w:w="5544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7"/>
              </w:rPr>
              <w:t>Wdrożyć 5 klas produktu, rozdzielić RYO, przygotować strukturę kategorii i listę brakujących danych o kompatybilności.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DDEFEA"/>
          </w:tcPr>
          <w:p>
            <w:r>
              <w:rPr>
                <w:b/>
                <w:color w:val="243342"/>
                <w:sz w:val="17"/>
              </w:rPr>
              <w:t>31-60 dni</w:t>
            </w:r>
          </w:p>
        </w:tc>
        <w:tc>
          <w:tcPr>
            <w:tcW w:type="dxa" w:w="2304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/>
                <w:color w:val="243342"/>
                <w:sz w:val="17"/>
              </w:rPr>
              <w:t>Kompatybilność i serwis</w:t>
            </w:r>
          </w:p>
        </w:tc>
        <w:tc>
          <w:tcPr>
            <w:tcW w:type="dxa" w:w="5544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7"/>
              </w:rPr>
              <w:t>Zbudować filtry marka/model/format, instrukcje czyszczenia, formularz części oraz podstawową bazę diagnostyczną.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DDEFEA"/>
          </w:tcPr>
          <w:p>
            <w:r>
              <w:rPr>
                <w:b/>
                <w:color w:val="243342"/>
                <w:sz w:val="17"/>
              </w:rPr>
              <w:t>61-90 dni</w:t>
            </w:r>
          </w:p>
        </w:tc>
        <w:tc>
          <w:tcPr>
            <w:tcW w:type="dxa" w:w="2304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/>
                <w:color w:val="243342"/>
                <w:sz w:val="17"/>
              </w:rPr>
              <w:t>Retencja i optymalizacja</w:t>
            </w:r>
          </w:p>
        </w:tc>
        <w:tc>
          <w:tcPr>
            <w:tcW w:type="dxa" w:w="5544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r>
              <w:rPr>
                <w:b w:val="0"/>
                <w:color w:val="243342"/>
                <w:sz w:val="17"/>
              </w:rPr>
              <w:t>Uruchomić sprzedaż uzupełniająca gilz, przechowywania i konserwacji; mierzyć odsetek sprzedaży dodatków, powroty klientów, zapytania serwisowe i braki kompatybilności.</w:t>
            </w:r>
          </w:p>
        </w:tc>
      </w:tr>
    </w:tbl>
    <w:p>
      <w:pPr>
        <w:pStyle w:val="Heading1"/>
        <w:spacing w:before="200" w:after="100"/>
      </w:pPr>
      <w:r>
        <w:t>Źródła i uwagi dowodowe</w:t>
      </w:r>
    </w:p>
    <w:p>
      <w:pPr>
        <w:spacing w:after="40"/>
      </w:pPr>
      <w:r>
        <w:rPr>
          <w:b/>
          <w:color w:val="18324A"/>
          <w:sz w:val="17"/>
        </w:rPr>
        <w:t xml:space="preserve">1. </w:t>
      </w:r>
      <w:hyperlink r:id="rId11">
        <w:r>
          <w:rPr>
            <w:color w:val="1F6B8F"/>
            <w:u w:val="single"/>
          </w:rPr>
          <w:t>OCB - przegląd produktów</w:t>
        </w:r>
      </w:hyperlink>
      <w:r>
        <w:rPr>
          <w:color w:val="243342"/>
          <w:sz w:val="17"/>
        </w:rPr>
        <w:t xml:space="preserve"> - Katalog producenta obejmujący bibułki, filtry, gilzy i akcesoria.</w:t>
      </w:r>
    </w:p>
    <w:p>
      <w:pPr>
        <w:spacing w:after="40"/>
      </w:pPr>
      <w:r>
        <w:rPr>
          <w:b/>
          <w:color w:val="18324A"/>
          <w:sz w:val="17"/>
        </w:rPr>
        <w:t xml:space="preserve">2. </w:t>
      </w:r>
      <w:hyperlink r:id="rId12">
        <w:r>
          <w:rPr>
            <w:color w:val="1F6B8F"/>
            <w:u w:val="single"/>
          </w:rPr>
          <w:t>OCB - gilzy</w:t>
        </w:r>
      </w:hyperlink>
      <w:r>
        <w:rPr>
          <w:color w:val="243342"/>
          <w:sz w:val="17"/>
        </w:rPr>
        <w:t xml:space="preserve"> - Formaty gilz, w tym standard, eko, długi filtr i warianty mentolowe.</w:t>
      </w:r>
    </w:p>
    <w:p>
      <w:pPr>
        <w:spacing w:after="40"/>
      </w:pPr>
      <w:r>
        <w:rPr>
          <w:b/>
          <w:color w:val="18324A"/>
          <w:sz w:val="17"/>
        </w:rPr>
        <w:t xml:space="preserve">3. </w:t>
      </w:r>
      <w:hyperlink r:id="rId13">
        <w:r>
          <w:rPr>
            <w:color w:val="1F6B8F"/>
            <w:u w:val="single"/>
          </w:rPr>
          <w:t>OCB - filtry i tipsy</w:t>
        </w:r>
      </w:hyperlink>
      <w:r>
        <w:rPr>
          <w:color w:val="243342"/>
          <w:sz w:val="17"/>
        </w:rPr>
        <w:t xml:space="preserve"> - Filtry standardowe, Slim, Extra Slim, długie, mentolowe, węglowe i papierowe.</w:t>
      </w:r>
    </w:p>
    <w:p>
      <w:pPr>
        <w:spacing w:after="40"/>
      </w:pPr>
      <w:r>
        <w:rPr>
          <w:b/>
          <w:color w:val="18324A"/>
          <w:sz w:val="17"/>
        </w:rPr>
        <w:t xml:space="preserve">4. </w:t>
      </w:r>
      <w:hyperlink r:id="rId14">
        <w:r>
          <w:rPr>
            <w:color w:val="1F6B8F"/>
            <w:u w:val="single"/>
          </w:rPr>
          <w:t>OCB - akcesoria</w:t>
        </w:r>
      </w:hyperlink>
      <w:r>
        <w:rPr>
          <w:color w:val="243342"/>
          <w:sz w:val="17"/>
        </w:rPr>
        <w:t xml:space="preserve"> - Nabijarki, maszynki stołowe, rollery i tacki.</w:t>
      </w:r>
    </w:p>
    <w:p>
      <w:pPr>
        <w:spacing w:after="40"/>
      </w:pPr>
      <w:r>
        <w:rPr>
          <w:b/>
          <w:color w:val="18324A"/>
          <w:sz w:val="17"/>
        </w:rPr>
        <w:t xml:space="preserve">5. </w:t>
      </w:r>
      <w:hyperlink r:id="rId15">
        <w:r>
          <w:rPr>
            <w:color w:val="1F6B8F"/>
            <w:u w:val="single"/>
          </w:rPr>
          <w:t>GIZEH - historia firmy</w:t>
        </w:r>
      </w:hyperlink>
      <w:r>
        <w:rPr>
          <w:color w:val="243342"/>
          <w:sz w:val="17"/>
        </w:rPr>
        <w:t xml:space="preserve"> - Historyczne powiązanie gilz filtracyjnych z maszyną Silver Tip.</w:t>
      </w:r>
    </w:p>
    <w:p>
      <w:pPr>
        <w:spacing w:after="40"/>
      </w:pPr>
      <w:r>
        <w:rPr>
          <w:b/>
          <w:color w:val="18324A"/>
          <w:sz w:val="17"/>
        </w:rPr>
        <w:t xml:space="preserve">6. </w:t>
      </w:r>
      <w:hyperlink r:id="rId16">
        <w:r>
          <w:rPr>
            <w:color w:val="1F6B8F"/>
            <w:u w:val="single"/>
          </w:rPr>
          <w:t>Smoking.fr - elektryczna nabijarka</w:t>
        </w:r>
      </w:hyperlink>
      <w:r>
        <w:rPr>
          <w:color w:val="243342"/>
          <w:sz w:val="17"/>
        </w:rPr>
        <w:t xml:space="preserve"> - Przykład akcesoriów dostarczanych z urządzeniem: pokrywa, lejek, pojemnik, szczotka i pręt.</w:t>
      </w:r>
    </w:p>
    <w:p>
      <w:pPr>
        <w:spacing w:after="40"/>
      </w:pPr>
      <w:r>
        <w:rPr>
          <w:b/>
          <w:color w:val="18324A"/>
          <w:sz w:val="17"/>
        </w:rPr>
        <w:t xml:space="preserve">7. </w:t>
      </w:r>
      <w:hyperlink r:id="rId17">
        <w:r>
          <w:rPr>
            <w:color w:val="1F6B8F"/>
            <w:u w:val="single"/>
          </w:rPr>
          <w:t>Smoking.fr - konserwacja nabijarek</w:t>
        </w:r>
      </w:hyperlink>
      <w:r>
        <w:rPr>
          <w:color w:val="243342"/>
          <w:sz w:val="17"/>
        </w:rPr>
        <w:t xml:space="preserve"> - Porady serwisowe dla maszyn do napełniania gilz.</w:t>
      </w:r>
    </w:p>
    <w:p>
      <w:pPr>
        <w:spacing w:after="40"/>
      </w:pPr>
      <w:r>
        <w:rPr>
          <w:b/>
          <w:color w:val="18324A"/>
          <w:sz w:val="17"/>
        </w:rPr>
        <w:t xml:space="preserve">8. </w:t>
      </w:r>
      <w:hyperlink r:id="rId18">
        <w:r>
          <w:rPr>
            <w:color w:val="1F6B8F"/>
            <w:u w:val="single"/>
          </w:rPr>
          <w:t>Smoking.fr - nawilżanie suchego tytoniu</w:t>
        </w:r>
      </w:hyperlink>
      <w:r>
        <w:rPr>
          <w:color w:val="243342"/>
          <w:sz w:val="17"/>
        </w:rPr>
        <w:t xml:space="preserve"> - Powiązanie kontroli wilgotności z pracą nabijarki tłokowej.</w:t>
      </w:r>
    </w:p>
    <w:p>
      <w:pPr>
        <w:spacing w:after="40"/>
      </w:pPr>
      <w:r>
        <w:rPr>
          <w:b/>
          <w:color w:val="18324A"/>
          <w:sz w:val="17"/>
        </w:rPr>
        <w:t xml:space="preserve">9. </w:t>
      </w:r>
      <w:hyperlink r:id="rId19">
        <w:r>
          <w:rPr>
            <w:color w:val="1F6B8F"/>
            <w:u w:val="single"/>
          </w:rPr>
          <w:t>Smoking Paper - Tubes 100</w:t>
        </w:r>
      </w:hyperlink>
      <w:r>
        <w:rPr>
          <w:color w:val="243342"/>
          <w:sz w:val="17"/>
        </w:rPr>
        <w:t xml:space="preserve"> - Specyfikacja formatu 84 mm i średnicy 8 mm.</w:t>
      </w:r>
    </w:p>
    <w:p>
      <w:pPr>
        <w:spacing w:after="40"/>
      </w:pPr>
      <w:r>
        <w:rPr>
          <w:b/>
          <w:color w:val="18324A"/>
          <w:sz w:val="17"/>
        </w:rPr>
        <w:t xml:space="preserve">10. </w:t>
      </w:r>
      <w:hyperlink r:id="rId20">
        <w:r>
          <w:rPr>
            <w:color w:val="1F6B8F"/>
            <w:u w:val="single"/>
          </w:rPr>
          <w:t>Silverfoiltubes - kategorie produktów</w:t>
        </w:r>
      </w:hyperlink>
      <w:r>
        <w:rPr>
          <w:color w:val="243342"/>
          <w:sz w:val="17"/>
        </w:rPr>
        <w:t xml:space="preserve"> - Dowody rynkowe dla wielu formatów gilz, bibułek, tipsów i nabijarek.</w:t>
      </w:r>
    </w:p>
    <w:p>
      <w:pPr>
        <w:spacing w:after="40"/>
      </w:pPr>
      <w:r>
        <w:rPr>
          <w:b/>
          <w:color w:val="18324A"/>
          <w:sz w:val="17"/>
        </w:rPr>
        <w:t xml:space="preserve">11. </w:t>
      </w:r>
      <w:hyperlink r:id="rId21">
        <w:r>
          <w:rPr>
            <w:color w:val="1F6B8F"/>
            <w:u w:val="single"/>
          </w:rPr>
          <w:t>CAGS Group - gilzy papierosowe</w:t>
        </w:r>
      </w:hyperlink>
      <w:r>
        <w:rPr>
          <w:color w:val="243342"/>
          <w:sz w:val="17"/>
        </w:rPr>
        <w:t xml:space="preserve"> - King Size, Slim, Ultra Slim, Micro Slim i różne technologie filtrów.</w:t>
      </w:r>
    </w:p>
    <w:p>
      <w:pPr>
        <w:spacing w:after="40"/>
      </w:pPr>
      <w:r>
        <w:rPr>
          <w:b/>
          <w:color w:val="18324A"/>
          <w:sz w:val="17"/>
        </w:rPr>
        <w:t xml:space="preserve">12. </w:t>
      </w:r>
      <w:hyperlink r:id="rId22">
        <w:r>
          <w:rPr>
            <w:color w:val="1F6B8F"/>
            <w:u w:val="single"/>
          </w:rPr>
          <w:t>Polska - tekst jednolity ustawy</w:t>
        </w:r>
      </w:hyperlink>
      <w:r>
        <w:rPr>
          <w:color w:val="243342"/>
          <w:sz w:val="17"/>
        </w:rPr>
        <w:t xml:space="preserve"> - Oficjalna definicja przyborów tytoniowych i ramy ustawowe.</w:t>
      </w:r>
    </w:p>
    <w:p>
      <w:pPr>
        <w:spacing w:after="40"/>
      </w:pPr>
      <w:r>
        <w:rPr>
          <w:b/>
          <w:color w:val="18324A"/>
          <w:sz w:val="17"/>
        </w:rPr>
        <w:t xml:space="preserve">13. </w:t>
      </w:r>
      <w:hyperlink r:id="rId23">
        <w:r>
          <w:rPr>
            <w:color w:val="1F6B8F"/>
            <w:u w:val="single"/>
          </w:rPr>
          <w:t>Polska - ELI</w:t>
        </w:r>
      </w:hyperlink>
      <w:r>
        <w:rPr>
          <w:color w:val="243342"/>
          <w:sz w:val="17"/>
        </w:rPr>
        <w:t xml:space="preserve"> - Oficjalny, przeszukiwalny tekst prawny.</w:t>
      </w:r>
    </w:p>
    <w:p>
      <w:pPr>
        <w:spacing w:after="40"/>
      </w:pPr>
      <w:r>
        <w:rPr>
          <w:b/>
          <w:color w:val="18324A"/>
          <w:sz w:val="17"/>
        </w:rPr>
        <w:t xml:space="preserve">14. </w:t>
      </w:r>
      <w:hyperlink r:id="rId24">
        <w:r>
          <w:rPr>
            <w:color w:val="1F6B8F"/>
            <w:u w:val="single"/>
          </w:rPr>
          <w:t>Litwa - zmiana ekspozycji detalicznej</w:t>
        </w:r>
      </w:hyperlink>
      <w:r>
        <w:rPr>
          <w:color w:val="243342"/>
          <w:sz w:val="17"/>
        </w:rPr>
        <w:t xml:space="preserve"> - Informacja Seimas o zakazie publicznej ekspozycji od 2025 r.</w:t>
      </w:r>
    </w:p>
    <w:p>
      <w:pPr>
        <w:spacing w:after="40"/>
      </w:pPr>
      <w:r>
        <w:rPr>
          <w:b/>
          <w:color w:val="18324A"/>
          <w:sz w:val="17"/>
        </w:rPr>
        <w:t xml:space="preserve">15. </w:t>
      </w:r>
      <w:hyperlink r:id="rId25">
        <w:r>
          <w:rPr>
            <w:color w:val="1F6B8F"/>
            <w:u w:val="single"/>
          </w:rPr>
          <w:t>Litwa - ustawa o kontroli tytoniu</w:t>
        </w:r>
      </w:hyperlink>
      <w:r>
        <w:rPr>
          <w:color w:val="243342"/>
          <w:sz w:val="17"/>
        </w:rPr>
        <w:t xml:space="preserve"> - Angielski tekst opisujący zakres kontroli produkcji, handlu, reklamy i używania.</w:t>
      </w:r>
    </w:p>
    <w:p>
      <w:pPr>
        <w:spacing w:after="40"/>
      </w:pPr>
      <w:r>
        <w:rPr>
          <w:b/>
          <w:color w:val="18324A"/>
          <w:sz w:val="17"/>
        </w:rPr>
        <w:t xml:space="preserve">16. </w:t>
      </w:r>
      <w:hyperlink r:id="rId26">
        <w:r>
          <w:rPr>
            <w:color w:val="1F6B8F"/>
            <w:u w:val="single"/>
          </w:rPr>
          <w:t>Łotwa - minimalny wiek 20 lat</w:t>
        </w:r>
      </w:hyperlink>
      <w:r>
        <w:rPr>
          <w:color w:val="243342"/>
          <w:sz w:val="17"/>
        </w:rPr>
        <w:t xml:space="preserve"> - Oficjalna informacja Saeima o zmianach od 1 stycznia 2025 r.</w:t>
      </w:r>
    </w:p>
    <w:p>
      <w:pPr>
        <w:spacing w:after="40"/>
      </w:pPr>
      <w:r>
        <w:rPr>
          <w:b/>
          <w:color w:val="18324A"/>
          <w:sz w:val="17"/>
        </w:rPr>
        <w:t xml:space="preserve">17. </w:t>
      </w:r>
      <w:hyperlink r:id="rId27">
        <w:r>
          <w:rPr>
            <w:color w:val="1F6B8F"/>
            <w:u w:val="single"/>
          </w:rPr>
          <w:t>Łotwa - podsumowanie regulacji</w:t>
        </w:r>
      </w:hyperlink>
      <w:r>
        <w:rPr>
          <w:color w:val="243342"/>
          <w:sz w:val="17"/>
        </w:rPr>
        <w:t xml:space="preserve"> - Podsumowanie ograniczeń reklamowych i ekspozycyjnych.</w:t>
      </w:r>
    </w:p>
    <w:p>
      <w:pPr>
        <w:spacing w:after="40"/>
      </w:pPr>
      <w:r>
        <w:rPr>
          <w:b/>
          <w:color w:val="18324A"/>
          <w:sz w:val="17"/>
        </w:rPr>
        <w:t xml:space="preserve">18. </w:t>
      </w:r>
      <w:hyperlink r:id="rId28">
        <w:r>
          <w:rPr>
            <w:color w:val="1F6B8F"/>
            <w:u w:val="single"/>
          </w:rPr>
          <w:t>Komisja Europejska - reklama transgraniczna</w:t>
        </w:r>
      </w:hyperlink>
      <w:r>
        <w:rPr>
          <w:color w:val="243342"/>
          <w:sz w:val="17"/>
        </w:rPr>
        <w:t xml:space="preserve"> - Oficjalne omówienie zakazu reklamy i sponsoringu.</w:t>
      </w:r>
    </w:p>
    <w:p>
      <w:pPr>
        <w:spacing w:after="40"/>
      </w:pPr>
      <w:r>
        <w:rPr>
          <w:b/>
          <w:color w:val="18324A"/>
          <w:sz w:val="17"/>
        </w:rPr>
        <w:t xml:space="preserve">19. </w:t>
      </w:r>
      <w:hyperlink r:id="rId29">
        <w:r>
          <w:rPr>
            <w:color w:val="1F6B8F"/>
            <w:u w:val="single"/>
          </w:rPr>
          <w:t>EUR-Lex - dyrektywa 2003/33/WE</w:t>
        </w:r>
      </w:hyperlink>
      <w:r>
        <w:rPr>
          <w:color w:val="243342"/>
          <w:sz w:val="17"/>
        </w:rPr>
        <w:t xml:space="preserve"> - Pierwotny tekst prawa UE.</w:t>
      </w:r>
    </w:p>
    <w:p>
      <w:pPr>
        <w:pStyle w:val="Small"/>
      </w:pPr>
      <w:r>
        <w:t>Dostęp do źródeł: 13 lipca 2026. Strony produktowe i przepisy mogą ulec zmianie; przed zakupem, publikacją lub uruchomieniem sprzedaży należy przeprowadzić ponowną weryfikację.</w:t>
      </w:r>
    </w:p>
    <w:sectPr w:rsidR="00FC693F" w:rsidRPr="0006063C" w:rsidSect="00034616">
      <w:headerReference w:type="default" r:id="rId34"/>
      <w:footerReference w:type="default" r:id="rId35"/>
      <w:pgSz w:w="12240" w:h="15840"/>
      <w:pgMar w:top="792" w:right="936" w:bottom="792" w:left="936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rlito" w:hAnsi="Carlito"/>
        <w:color w:val="7A8794"/>
        <w:sz w:val="15"/>
      </w:rPr>
      <w:t xml:space="preserve">BILLS  |  Materiał roboczy  | 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rlito" w:hAnsi="Carlito"/>
        <w:color w:val="7A8794"/>
        <w:sz w:val="15"/>
      </w:rPr>
      <w:t xml:space="preserve">BILLS  |  Materiał roboczy  | 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rlito" w:hAnsi="Carlito"/>
        <w:color w:val="7A8794"/>
        <w:sz w:val="15"/>
      </w:rPr>
      <w:t xml:space="preserve">BILLS  |  Materiał roboczy  | 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/>
        <w:color w:val="7A8794"/>
        <w:sz w:val="15"/>
      </w:rPr>
      <w:t>EKOSYSTEM NABIJAREK | RAPORT RYNKOWY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/>
        <w:color w:val="7A8794"/>
        <w:sz w:val="15"/>
      </w:rPr>
      <w:t>EKOSYSTEM NABIJAREK | RAPORT RYNKOWY 2026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/>
        <w:color w:val="7A8794"/>
        <w:sz w:val="15"/>
      </w:rPr>
      <w:t>EKOSYSTEM NABIJAREK | RAPORT RYNKOWY 2026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rlito" w:hAnsi="Carlito"/>
      <w:color w:val="2433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rlito" w:hAnsi="Carlito"/>
      <w:b/>
      <w:bCs/>
      <w:color w:val="1832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rlito" w:hAnsi="Carlito"/>
      <w:b/>
      <w:bCs/>
      <w:color w:val="223E5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rlito" w:hAnsi="Carlito"/>
      <w:b/>
      <w:bCs/>
      <w:color w:val="1F9B9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rlito" w:hAnsi="Carlito"/>
      <w:b/>
      <w:color w:val="18324A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Small">
    <w:name w:val="SubtitleSmall"/>
    <w:rPr>
      <w:rFonts w:ascii="Carlito" w:hAnsi="Carlito"/>
      <w:i/>
      <w:color w:val="5D6A77"/>
      <w:sz w:val="19"/>
    </w:rPr>
  </w:style>
  <w:style w:type="paragraph" w:customStyle="1" w:styleId="Small">
    <w:name w:val="Small"/>
    <w:rPr>
      <w:rFonts w:ascii="Carlito" w:hAnsi="Carlito"/>
      <w:color w:val="5D6A7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ocb.net/ocbproducto/" TargetMode="External"/><Relationship Id="rId12" Type="http://schemas.openxmlformats.org/officeDocument/2006/relationships/hyperlink" Target="https://ocb.net/ocbproducto/tubes/" TargetMode="External"/><Relationship Id="rId13" Type="http://schemas.openxmlformats.org/officeDocument/2006/relationships/hyperlink" Target="https://ocb.net/ocbproducto/filters-filter-tips/" TargetMode="External"/><Relationship Id="rId14" Type="http://schemas.openxmlformats.org/officeDocument/2006/relationships/hyperlink" Target="https://ocb.net/ocbproducto/accessories/" TargetMode="External"/><Relationship Id="rId15" Type="http://schemas.openxmlformats.org/officeDocument/2006/relationships/hyperlink" Target="https://www.gizeh-online.com/en-de/our-history" TargetMode="External"/><Relationship Id="rId16" Type="http://schemas.openxmlformats.org/officeDocument/2006/relationships/hyperlink" Target="https://www.smoking.fr/machine-tuber-electrique-p-4298.html" TargetMode="External"/><Relationship Id="rId17" Type="http://schemas.openxmlformats.org/officeDocument/2006/relationships/hyperlink" Target="https://www.smoking.fr/comment-entretenir-une-tubeuse-a-197.html" TargetMode="External"/><Relationship Id="rId18" Type="http://schemas.openxmlformats.org/officeDocument/2006/relationships/hyperlink" Target="https://www.smoking.fr/comment-humidifier-tabac-sec-a-106.html" TargetMode="External"/><Relationship Id="rId19" Type="http://schemas.openxmlformats.org/officeDocument/2006/relationships/hyperlink" Target="https://www.smokingpaper.com/tubes-100/" TargetMode="External"/><Relationship Id="rId20" Type="http://schemas.openxmlformats.org/officeDocument/2006/relationships/hyperlink" Target="https://www.silverfoiltubes.com/product-category/cigarette-tubes-84mm/" TargetMode="External"/><Relationship Id="rId21" Type="http://schemas.openxmlformats.org/officeDocument/2006/relationships/hyperlink" Target="https://www.cagsgrp.com/cigarette-tubes/" TargetMode="External"/><Relationship Id="rId22" Type="http://schemas.openxmlformats.org/officeDocument/2006/relationships/hyperlink" Target="https://isap.sejm.gov.pl/isap.nsf/download.xsp/WDU19960100055/U/D19960055Lj.pdf" TargetMode="External"/><Relationship Id="rId23" Type="http://schemas.openxmlformats.org/officeDocument/2006/relationships/hyperlink" Target="https://eli.gov.pl/api/acts/DU/2017/957/text.html" TargetMode="External"/><Relationship Id="rId24" Type="http://schemas.openxmlformats.org/officeDocument/2006/relationships/hyperlink" Target="https://www.lrs.lt/sip/portal.show?p_a=1648&amp;p_k=2&amp;p_kade_id=10&amp;p_r=35403&amp;p_t=283066" TargetMode="External"/><Relationship Id="rId25" Type="http://schemas.openxmlformats.org/officeDocument/2006/relationships/hyperlink" Target="https://assets.tobaccocontrollaws.org/uploads/legislation/Lithuania/Lithuania-TC-Law.pdf" TargetMode="External"/><Relationship Id="rId26" Type="http://schemas.openxmlformats.org/officeDocument/2006/relationships/hyperlink" Target="https://www.saeima.lv/en/news/saeima-news/33027-smoking-age-limit-to-be-raised-to-20" TargetMode="External"/><Relationship Id="rId27" Type="http://schemas.openxmlformats.org/officeDocument/2006/relationships/hyperlink" Target="https://www.tobaccocontrollaws.org/legislation/latvia" TargetMode="External"/><Relationship Id="rId28" Type="http://schemas.openxmlformats.org/officeDocument/2006/relationships/hyperlink" Target="https://health.ec.europa.eu/tobacco/ban-cross-border-tobacco-advertising-and-sponsorship_en" TargetMode="External"/><Relationship Id="rId29" Type="http://schemas.openxmlformats.org/officeDocument/2006/relationships/hyperlink" Target="https://eur-lex.europa.eu/legal-content/EN/TXT/PDF/?uri=CELEX:32003L0033" TargetMode="External"/><Relationship Id="rId30" Type="http://schemas.openxmlformats.org/officeDocument/2006/relationships/header" Target="header1.xml"/><Relationship Id="rId31" Type="http://schemas.openxmlformats.org/officeDocument/2006/relationships/footer" Target="footer1.xml"/><Relationship Id="rId32" Type="http://schemas.openxmlformats.org/officeDocument/2006/relationships/header" Target="header2.xml"/><Relationship Id="rId33" Type="http://schemas.openxmlformats.org/officeDocument/2006/relationships/footer" Target="footer2.xml"/><Relationship Id="rId34" Type="http://schemas.openxmlformats.org/officeDocument/2006/relationships/header" Target="header3.xml"/><Relationship Id="rId35" Type="http://schemas.openxmlformats.org/officeDocument/2006/relationships/footer" Target="footer3.xml"/><Relationship Id="rId36" Type="http://schemas.openxmlformats.org/officeDocument/2006/relationships/header" Target="header4.xml"/><Relationship Id="rId3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Ekosystem nabijarek do gilz i akcesoriów - raport rynkowy 2026</dc:title>
  <dc:subject>Taksonomia produktów, architektura e-commerce i ryzyka zgodności dla Polski, Litwy, Łotwy i UE</dc:subject>
  <dc:creator>BILLS / OpenAI</dc:creator>
  <cp:keywords>nabijarki, gilzy, MYO, RYO, Powermatic, Hawk-Matic, e-commerce, akcesoria tytoniowe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