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160"/>
      </w:pPr>
      <w:r>
        <w:rPr>
          <w:rFonts w:ascii="Liberation Sans" w:hAnsi="Liberation Sans" w:eastAsia="Liberation Sans"/>
          <w:b/>
          <w:color w:val="2F6FB0"/>
          <w:sz w:val="20"/>
        </w:rPr>
        <w:t>BENCHMARK E-COMMERCE</w:t>
      </w:r>
    </w:p>
    <w:p>
      <w:pPr>
        <w:spacing w:after="160" w:line="240" w:lineRule="auto"/>
      </w:pPr>
      <w:r>
        <w:rPr>
          <w:rFonts w:ascii="Liberation Sans" w:hAnsi="Liberation Sans" w:eastAsia="Liberation Sans"/>
          <w:b/>
          <w:color w:val="16324F"/>
          <w:sz w:val="54"/>
        </w:rPr>
        <w:t>Powermatic: konkurencja, modele B2B</w:t>
        <w:br/>
        <w:t>i rekomendowana architektura sprzedaży</w:t>
      </w:r>
    </w:p>
    <w:p>
      <w:pPr>
        <w:spacing w:after="400"/>
      </w:pPr>
      <w:r>
        <w:rPr>
          <w:rFonts w:ascii="Liberation Sans" w:hAnsi="Liberation Sans" w:eastAsia="Liberation Sans"/>
          <w:color w:val="5E6C7A"/>
          <w:sz w:val="24"/>
        </w:rPr>
        <w:t>Analiza techniczno-biznesowa 8 sklepów z Polski i rynków europejskich</w:t>
      </w:r>
    </w:p>
    <w:p>
      <w:pPr>
        <w:spacing w:before="40" w:after="80"/>
        <w:pBdr>
          <w:bottom w:val="single" w:sz="16" w:space="1" w:color="2F6FB0"/>
        </w:pBdr>
      </w:pPr>
    </w:p>
    <w:p>
      <w:pPr>
        <w:spacing w:before="240" w:after="300"/>
      </w:pPr>
      <w:r>
        <w:rPr>
          <w:rFonts w:ascii="Liberation Sans" w:hAnsi="Liberation Sans" w:eastAsia="Liberation Sans"/>
          <w:b/>
          <w:color w:val="0F766E"/>
          <w:sz w:val="20"/>
        </w:rPr>
        <w:t>Cel raportu</w:t>
      </w:r>
      <w:r>
        <w:rPr>
          <w:rFonts w:ascii="Liberation Sans" w:hAnsi="Liberation Sans" w:eastAsia="Liberation Sans"/>
          <w:color w:val="263445"/>
          <w:sz w:val="21"/>
        </w:rPr>
        <w:br/>
        <w:t>Zidentyfikować rozwiązania, które realnie wspierają sprzedaż transgraniczną, obsługę klientów hurtowych, budowanie zaufania do marki oraz rozwój serwisu i części zamiennych.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564"/>
            <w:shd w:fill="FFFFFF"/>
            <w:tcBorders>
              <w:top w:sz="10" w:val="single" w:color="2F6FB0"/>
              <w:left w:sz="4" w:val="single" w:color="D7E0E8"/>
              <w:bottom w:sz="4" w:val="single" w:color="D7E0E8"/>
              <w:right w:sz="4" w:val="single" w:color="D7E0E8"/>
            </w:tcBorders>
            <w:tcMar>
              <w:top w:w="140" w:type="dxa"/>
              <w:start w:w="130" w:type="dxa"/>
              <w:bottom w:w="130" w:type="dxa"/>
              <w:end w:w="130" w:type="dxa"/>
            </w:tcMar>
          </w:tcPr>
          <w:p>
            <w:pPr>
              <w:spacing w:after="40"/>
              <w:jc w:val="left"/>
            </w:pPr>
            <w:r>
              <w:rPr>
                <w:rFonts w:ascii="Liberation Sans" w:hAnsi="Liberation Sans" w:eastAsia="Liberation Sans"/>
                <w:b/>
                <w:color w:val="2F6FB0"/>
                <w:sz w:val="40"/>
              </w:rPr>
              <w:t>8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263445"/>
                <w:sz w:val="17"/>
              </w:rPr>
              <w:t>sklepów w benchmarku</w:t>
            </w:r>
          </w:p>
          <w:p>
            <w:pPr>
              <w:spacing w:before="40" w:after="0"/>
            </w:pPr>
            <w:r>
              <w:rPr>
                <w:rFonts w:ascii="Liberation Sans" w:hAnsi="Liberation Sans" w:eastAsia="Liberation Sans"/>
                <w:color w:val="5E6C7A"/>
                <w:sz w:val="15"/>
              </w:rPr>
              <w:t>PL, RO, UA, AT, DE</w:t>
            </w:r>
          </w:p>
        </w:tc>
        <w:tc>
          <w:tcPr>
            <w:tcW w:type="dxa" w:w="2564"/>
            <w:shd w:fill="FFFFFF"/>
            <w:tcBorders>
              <w:top w:sz="10" w:val="single" w:color="0F766E"/>
              <w:left w:sz="4" w:val="single" w:color="D7E0E8"/>
              <w:bottom w:sz="4" w:val="single" w:color="D7E0E8"/>
              <w:right w:sz="4" w:val="single" w:color="D7E0E8"/>
            </w:tcBorders>
            <w:tcMar>
              <w:top w:w="140" w:type="dxa"/>
              <w:start w:w="130" w:type="dxa"/>
              <w:bottom w:w="130" w:type="dxa"/>
              <w:end w:w="130" w:type="dxa"/>
            </w:tcMar>
          </w:tcPr>
          <w:p>
            <w:pPr>
              <w:spacing w:after="40"/>
              <w:jc w:val="left"/>
            </w:pPr>
            <w:r>
              <w:rPr>
                <w:rFonts w:ascii="Liberation Sans" w:hAnsi="Liberation Sans" w:eastAsia="Liberation Sans"/>
                <w:b/>
                <w:color w:val="0F766E"/>
                <w:sz w:val="40"/>
              </w:rPr>
              <w:t>6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263445"/>
                <w:sz w:val="17"/>
              </w:rPr>
              <w:t>platform e-commerce</w:t>
            </w:r>
          </w:p>
          <w:p>
            <w:pPr>
              <w:spacing w:before="40" w:after="0"/>
            </w:pPr>
            <w:r>
              <w:rPr>
                <w:rFonts w:ascii="Liberation Sans" w:hAnsi="Liberation Sans" w:eastAsia="Liberation Sans"/>
                <w:color w:val="5E6C7A"/>
                <w:sz w:val="15"/>
              </w:rPr>
              <w:t>SaaS i open source</w:t>
            </w:r>
          </w:p>
        </w:tc>
        <w:tc>
          <w:tcPr>
            <w:tcW w:type="dxa" w:w="2564"/>
            <w:shd w:fill="FFFFFF"/>
            <w:tcBorders>
              <w:top w:sz="10" w:val="single" w:color="18794E"/>
              <w:left w:sz="4" w:val="single" w:color="D7E0E8"/>
              <w:bottom w:sz="4" w:val="single" w:color="D7E0E8"/>
              <w:right w:sz="4" w:val="single" w:color="D7E0E8"/>
            </w:tcBorders>
            <w:tcMar>
              <w:top w:w="140" w:type="dxa"/>
              <w:start w:w="130" w:type="dxa"/>
              <w:bottom w:w="130" w:type="dxa"/>
              <w:end w:w="130" w:type="dxa"/>
            </w:tcMar>
          </w:tcPr>
          <w:p>
            <w:pPr>
              <w:spacing w:after="40"/>
              <w:jc w:val="left"/>
            </w:pPr>
            <w:r>
              <w:rPr>
                <w:rFonts w:ascii="Liberation Sans" w:hAnsi="Liberation Sans" w:eastAsia="Liberation Sans"/>
                <w:b/>
                <w:color w:val="18794E"/>
                <w:sz w:val="40"/>
              </w:rPr>
              <w:t>3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263445"/>
                <w:sz w:val="17"/>
              </w:rPr>
              <w:t>modele sprzedaży</w:t>
            </w:r>
          </w:p>
          <w:p>
            <w:pPr>
              <w:spacing w:before="40" w:after="0"/>
            </w:pPr>
            <w:r>
              <w:rPr>
                <w:rFonts w:ascii="Liberation Sans" w:hAnsi="Liberation Sans" w:eastAsia="Liberation Sans"/>
                <w:color w:val="5E6C7A"/>
                <w:sz w:val="15"/>
              </w:rPr>
              <w:t>B2C, B2B/B2C, dealerzy</w:t>
            </w:r>
          </w:p>
        </w:tc>
        <w:tc>
          <w:tcPr>
            <w:tcW w:type="dxa" w:w="2564"/>
            <w:shd w:fill="FFFFFF"/>
            <w:tcBorders>
              <w:top w:sz="10" w:val="single" w:color="F4B942"/>
              <w:left w:sz="4" w:val="single" w:color="D7E0E8"/>
              <w:bottom w:sz="4" w:val="single" w:color="D7E0E8"/>
              <w:right w:sz="4" w:val="single" w:color="D7E0E8"/>
            </w:tcBorders>
            <w:tcMar>
              <w:top w:w="140" w:type="dxa"/>
              <w:start w:w="130" w:type="dxa"/>
              <w:bottom w:w="130" w:type="dxa"/>
              <w:end w:w="130" w:type="dxa"/>
            </w:tcMar>
          </w:tcPr>
          <w:p>
            <w:pPr>
              <w:spacing w:after="40"/>
              <w:jc w:val="left"/>
            </w:pPr>
            <w:r>
              <w:rPr>
                <w:rFonts w:ascii="Liberation Sans" w:hAnsi="Liberation Sans" w:eastAsia="Liberation Sans"/>
                <w:b/>
                <w:color w:val="F4B942"/>
                <w:sz w:val="40"/>
              </w:rPr>
              <w:t>1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263445"/>
                <w:sz w:val="17"/>
              </w:rPr>
              <w:t>rekomendowany kierunek</w:t>
            </w:r>
          </w:p>
          <w:p>
            <w:pPr>
              <w:spacing w:before="40" w:after="0"/>
            </w:pPr>
            <w:r>
              <w:rPr>
                <w:rFonts w:ascii="Liberation Sans" w:hAnsi="Liberation Sans" w:eastAsia="Liberation Sans"/>
                <w:color w:val="5E6C7A"/>
                <w:sz w:val="15"/>
              </w:rPr>
              <w:t>etapowe wdrożenie B2B + cross-border</w:t>
            </w:r>
          </w:p>
        </w:tc>
      </w:tr>
    </w:tbl>
    <w:p>
      <w:pPr>
        <w:spacing w:before="560" w:after="60"/>
      </w:pPr>
      <w:r>
        <w:rPr>
          <w:rFonts w:ascii="Liberation Sans" w:hAnsi="Liberation Sans" w:eastAsia="Liberation Sans"/>
          <w:b/>
          <w:color w:val="5E6C7A"/>
          <w:sz w:val="16"/>
        </w:rPr>
        <w:t>Zakres materiału</w:t>
      </w:r>
    </w:p>
    <w:p>
      <w:pPr>
        <w:spacing w:line="252" w:lineRule="auto"/>
      </w:pPr>
      <w:r>
        <w:rPr>
          <w:rFonts w:ascii="Liberation Sans" w:hAnsi="Liberation Sans" w:eastAsia="Liberation Sans"/>
          <w:color w:val="5E6C7A"/>
          <w:sz w:val="16"/>
        </w:rPr>
        <w:t>Analiza kodu źródłowego i nagłówków HTTP, widocznych funkcji sklepów, modeli cenowych oraz publicznie dostępnych informacji biznesowych. Wnioski o systemach ERP/WMS są oznaczone jako hipotezy - nie jako potwierdzone fakty.</w:t>
      </w:r>
    </w:p>
    <w:p>
      <w:pPr>
        <w:spacing w:before="500"/>
      </w:pPr>
      <w:r>
        <w:rPr>
          <w:rFonts w:ascii="Liberation Sans" w:hAnsi="Liberation Sans" w:eastAsia="Liberation Sans"/>
          <w:b/>
          <w:color w:val="2F6FB0"/>
          <w:sz w:val="17"/>
        </w:rPr>
        <w:t>Wersja poprawiona - raport zarządczy / projektowy</w:t>
      </w:r>
    </w:p>
    <w:p>
      <w:r>
        <w:br w:type="page"/>
      </w:r>
    </w:p>
    <w:p>
      <w:pPr>
        <w:pStyle w:val="Heading1"/>
        <w:spacing w:before="160" w:after="100"/>
        <w:keepNext w:val="1"/>
      </w:pPr>
      <w:r>
        <w:rPr>
          <w:rFonts w:ascii="Liberation Sans" w:hAnsi="Liberation Sans" w:eastAsia="Liberation Sans"/>
          <w:b/>
          <w:color w:val="2F6FB0"/>
          <w:sz w:val="32"/>
        </w:rPr>
        <w:t xml:space="preserve">01  </w:t>
      </w:r>
      <w:r>
        <w:rPr>
          <w:rFonts w:ascii="Liberation Sans" w:hAnsi="Liberation Sans" w:eastAsia="Liberation Sans"/>
          <w:b/>
          <w:color w:val="16324F"/>
          <w:sz w:val="32"/>
        </w:rPr>
        <w:t>Wnioski zarządcze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5128"/>
            <w:shd w:fill="EAF2F8"/>
            <w:tcBorders>
              <w:top w:sz="4" w:val="single" w:color="D7E0E8"/>
              <w:left w:sz="4" w:val="single" w:color="D7E0E8"/>
              <w:bottom w:sz="4" w:val="single" w:color="D7E0E8"/>
              <w:right w:sz="4" w:val="single" w:color="D7E0E8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6324F"/>
                <w:sz w:val="20"/>
              </w:rPr>
              <w:t>Technologia nie przesądza o przewadze</w:t>
            </w:r>
          </w:p>
          <w:p>
            <w:pPr>
              <w:spacing w:before="60" w:after="0"/>
            </w:pPr>
            <w:r>
              <w:rPr>
                <w:rFonts w:ascii="Liberation Sans" w:hAnsi="Liberation Sans" w:eastAsia="Liberation Sans"/>
                <w:color w:val="263445"/>
                <w:sz w:val="17"/>
              </w:rPr>
              <w:t>Największa różnica między sklepami nie wynika z samego CMS, lecz z jakości procesu B2B, polityki cenowej, danych produktowych, logistyki i serwisu.</w:t>
            </w:r>
          </w:p>
        </w:tc>
        <w:tc>
          <w:tcPr>
            <w:tcW w:type="dxa" w:w="5128"/>
            <w:shd w:fill="EAF2F8"/>
            <w:tcBorders>
              <w:top w:sz="4" w:val="single" w:color="D7E0E8"/>
              <w:left w:sz="4" w:val="single" w:color="D7E0E8"/>
              <w:bottom w:sz="4" w:val="single" w:color="D7E0E8"/>
              <w:right w:sz="4" w:val="single" w:color="D7E0E8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6324F"/>
                <w:sz w:val="20"/>
              </w:rPr>
              <w:t>B2B działa najczęściej za logowaniem</w:t>
            </w:r>
          </w:p>
          <w:p>
            <w:pPr>
              <w:spacing w:before="60" w:after="0"/>
            </w:pPr>
            <w:r>
              <w:rPr>
                <w:rFonts w:ascii="Liberation Sans" w:hAnsi="Liberation Sans" w:eastAsia="Liberation Sans"/>
                <w:color w:val="263445"/>
                <w:sz w:val="17"/>
              </w:rPr>
              <w:t>Dojrzałe modele hurtowe oddzielają detal od cenników firmowych. Rejestracja, weryfikacja NIP/VAT i grupy cenowe są ważniejsze niż publiczna prezentacja najniższej ceny.</w:t>
            </w:r>
          </w:p>
        </w:tc>
      </w:tr>
      <w:tr>
        <w:tc>
          <w:tcPr>
            <w:tcW w:type="dxa" w:w="5128"/>
            <w:shd w:fill="E8F4F2"/>
            <w:tcBorders>
              <w:top w:sz="4" w:val="single" w:color="D7E0E8"/>
              <w:left w:sz="4" w:val="single" w:color="D7E0E8"/>
              <w:bottom w:sz="4" w:val="single" w:color="D7E0E8"/>
              <w:right w:sz="4" w:val="single" w:color="D7E0E8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6324F"/>
                <w:sz w:val="20"/>
              </w:rPr>
              <w:t>Cross-border wymaga spójnego systemu</w:t>
            </w:r>
          </w:p>
          <w:p>
            <w:pPr>
              <w:spacing w:before="60" w:after="0"/>
            </w:pPr>
            <w:r>
              <w:rPr>
                <w:rFonts w:ascii="Liberation Sans" w:hAnsi="Liberation Sans" w:eastAsia="Liberation Sans"/>
                <w:color w:val="263445"/>
                <w:sz w:val="17"/>
              </w:rPr>
              <w:t>Wersje językowe, waluty, stawki VAT, progi dostawy i polityka zwrotów muszą być zarządzane centralnie - nie jako zestaw niezależnych kopii sklepu.</w:t>
            </w:r>
          </w:p>
        </w:tc>
        <w:tc>
          <w:tcPr>
            <w:tcW w:type="dxa" w:w="5128"/>
            <w:shd w:fill="E8F4F2"/>
            <w:tcBorders>
              <w:top w:sz="4" w:val="single" w:color="D7E0E8"/>
              <w:left w:sz="4" w:val="single" w:color="D7E0E8"/>
              <w:bottom w:sz="4" w:val="single" w:color="D7E0E8"/>
              <w:right w:sz="4" w:val="single" w:color="D7E0E8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6324F"/>
                <w:sz w:val="20"/>
              </w:rPr>
              <w:t>Zaufanie buduje serwis, nie tylko katalog</w:t>
            </w:r>
          </w:p>
          <w:p>
            <w:pPr>
              <w:spacing w:before="60" w:after="0"/>
            </w:pPr>
            <w:r>
              <w:rPr>
                <w:rFonts w:ascii="Liberation Sans" w:hAnsi="Liberation Sans" w:eastAsia="Liberation Sans"/>
                <w:color w:val="263445"/>
                <w:sz w:val="17"/>
              </w:rPr>
              <w:t>Najbardziej przekonujące sklepy łączą sprzedaż z instrukcjami, częściami, naprawami, gwarancją i treściami eksperckimi. To wyraźnie odróżnia markę od sprzedawców marketplace.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524"/>
      </w:tblGrid>
      <w:tr>
        <w:tc>
          <w:tcPr>
            <w:tcW w:type="dxa" w:w="5128"/>
            <w:shd w:fill="0F766E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/>
        </w:tc>
        <w:tc>
          <w:tcPr>
            <w:tcW w:type="dxa" w:w="5128"/>
            <w:shd w:fill="E8F4F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6324F"/>
                <w:sz w:val="20"/>
              </w:rPr>
              <w:t>Rekomendowany kierunek dla BILLS</w:t>
            </w:r>
          </w:p>
          <w:p>
            <w:pPr>
              <w:spacing w:before="40" w:after="0"/>
            </w:pPr>
            <w:r>
              <w:rPr>
                <w:rFonts w:ascii="Liberation Sans" w:hAnsi="Liberation Sans" w:eastAsia="Liberation Sans"/>
                <w:color w:val="263445"/>
                <w:sz w:val="18"/>
              </w:rPr>
              <w:t>Rozpocząć od kontrolowanego wdrożenia WordPress + WooCommerce z płatnym modułem B2B, integracją z ERP/BaseLinkerem i przygotowaniem pod sprzedaż PL/DE/EN. Magento lub platformę SaaS klasy IdoSell warto rozważyć dopiero wtedy, gdy skala, liczba cenników i procesów uzasadnią wyższy koszt oraz mniejszą elastyczność.</w:t>
            </w:r>
          </w:p>
        </w:tc>
      </w:tr>
    </w:tbl>
    <w:p>
      <w:pPr>
        <w:spacing w:after="20"/>
      </w:pPr>
    </w:p>
    <w:p>
      <w:pPr>
        <w:pStyle w:val="Heading2"/>
        <w:spacing w:before="100" w:after="100"/>
        <w:keepNext w:val="1"/>
      </w:pPr>
      <w:r>
        <w:rPr>
          <w:rFonts w:ascii="Liberation Sans" w:hAnsi="Liberation Sans" w:eastAsia="Liberation Sans"/>
          <w:b/>
          <w:color w:val="16324F"/>
          <w:sz w:val="23"/>
        </w:rPr>
        <w:t>Jak czytać poziom pewności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419"/>
            <w:shd w:fill="EAF6EF"/>
            <w:tcBorders>
              <w:top w:sz="4" w:val="single" w:color="18794E"/>
              <w:left w:sz="4" w:val="single" w:color="D7E0E8"/>
              <w:bottom w:sz="4" w:val="single" w:color="D7E0E8"/>
              <w:right w:sz="4" w:val="single" w:color="D7E0E8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8794E"/>
                <w:sz w:val="16"/>
              </w:rPr>
              <w:t>POTWIERDZONE</w:t>
            </w:r>
          </w:p>
          <w:p>
            <w:pPr>
              <w:spacing w:before="60" w:after="0"/>
            </w:pPr>
            <w:r>
              <w:rPr>
                <w:rFonts w:ascii="Liberation Sans" w:hAnsi="Liberation Sans" w:eastAsia="Liberation Sans"/>
                <w:color w:val="263445"/>
                <w:sz w:val="15"/>
              </w:rPr>
              <w:t>Widoczne bezpośrednio w kodzie, interfejsie lub publicznych danych.</w:t>
            </w:r>
          </w:p>
        </w:tc>
        <w:tc>
          <w:tcPr>
            <w:tcW w:type="dxa" w:w="3419"/>
            <w:shd w:fill="FFF7E0"/>
            <w:tcBorders>
              <w:top w:sz="4" w:val="single" w:color="F4B942"/>
              <w:left w:sz="4" w:val="single" w:color="D7E0E8"/>
              <w:bottom w:sz="4" w:val="single" w:color="D7E0E8"/>
              <w:right w:sz="4" w:val="single" w:color="D7E0E8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4B942"/>
                <w:sz w:val="16"/>
              </w:rPr>
              <w:t>WNIOSKOWANE</w:t>
            </w:r>
          </w:p>
          <w:p>
            <w:pPr>
              <w:spacing w:before="60" w:after="0"/>
            </w:pPr>
            <w:r>
              <w:rPr>
                <w:rFonts w:ascii="Liberation Sans" w:hAnsi="Liberation Sans" w:eastAsia="Liberation Sans"/>
                <w:color w:val="263445"/>
                <w:sz w:val="15"/>
              </w:rPr>
              <w:t>Najbardziej prawdopodobny scenariusz na podstawie platformy lub rynku.</w:t>
            </w:r>
          </w:p>
        </w:tc>
        <w:tc>
          <w:tcPr>
            <w:tcW w:type="dxa" w:w="3419"/>
            <w:shd w:fill="FDEDEC"/>
            <w:tcBorders>
              <w:top w:sz="4" w:val="single" w:color="B42318"/>
              <w:left w:sz="4" w:val="single" w:color="D7E0E8"/>
              <w:bottom w:sz="4" w:val="single" w:color="D7E0E8"/>
              <w:right w:sz="4" w:val="single" w:color="D7E0E8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B42318"/>
                <w:sz w:val="16"/>
              </w:rPr>
              <w:t>DO WERYFIKACJI</w:t>
            </w:r>
          </w:p>
          <w:p>
            <w:pPr>
              <w:spacing w:before="60" w:after="0"/>
            </w:pPr>
            <w:r>
              <w:rPr>
                <w:rFonts w:ascii="Liberation Sans" w:hAnsi="Liberation Sans" w:eastAsia="Liberation Sans"/>
                <w:color w:val="263445"/>
                <w:sz w:val="15"/>
              </w:rPr>
              <w:t>Informacja wymaga dostępu do panelu, rozmowy handlowej lub dokumentów.</w:t>
            </w:r>
          </w:p>
        </w:tc>
      </w:tr>
    </w:tbl>
    <w:p>
      <w:pPr>
        <w:pStyle w:val="Heading2"/>
        <w:spacing w:before="100" w:after="100"/>
        <w:keepNext w:val="1"/>
      </w:pPr>
      <w:r>
        <w:rPr>
          <w:rFonts w:ascii="Liberation Sans" w:hAnsi="Liberation Sans" w:eastAsia="Liberation Sans"/>
          <w:b/>
          <w:color w:val="16324F"/>
          <w:sz w:val="23"/>
        </w:rPr>
        <w:t>Priorytety wdrożeniowe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3685"/>
        <w:gridCol w:w="4365"/>
      </w:tblGrid>
      <w:tr>
        <w:tc>
          <w:tcPr>
            <w:tcW w:type="dxa" w:w="3419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Priorytet</w:t>
            </w:r>
          </w:p>
        </w:tc>
        <w:tc>
          <w:tcPr>
            <w:tcW w:type="dxa" w:w="3419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Zakres</w:t>
            </w:r>
          </w:p>
        </w:tc>
        <w:tc>
          <w:tcPr>
            <w:tcW w:type="dxa" w:w="3419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Efekt biznesowy</w:t>
            </w:r>
          </w:p>
        </w:tc>
      </w:tr>
      <w:tr>
        <w:tc>
          <w:tcPr>
            <w:tcW w:type="dxa" w:w="3419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F6FB0"/>
                <w:sz w:val="16"/>
              </w:rPr>
              <w:t>P1</w:t>
            </w:r>
          </w:p>
        </w:tc>
        <w:tc>
          <w:tcPr>
            <w:tcW w:type="dxa" w:w="3419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6"/>
              </w:rPr>
              <w:t>Strefa B2B, grupy cenowe, rejestracja firmy, widoczność stanów i terminów</w:t>
            </w:r>
          </w:p>
        </w:tc>
        <w:tc>
          <w:tcPr>
            <w:tcW w:type="dxa" w:w="3419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6"/>
              </w:rPr>
              <w:t>Kontrolowana polityka hurtowa i szybsza obsługa partnerów</w:t>
            </w:r>
          </w:p>
        </w:tc>
      </w:tr>
      <w:tr>
        <w:tc>
          <w:tcPr>
            <w:tcW w:type="dxa" w:w="3419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F6FB0"/>
                <w:sz w:val="16"/>
              </w:rPr>
              <w:t>P2</w:t>
            </w:r>
          </w:p>
        </w:tc>
        <w:tc>
          <w:tcPr>
            <w:tcW w:type="dxa" w:w="3419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6"/>
              </w:rPr>
              <w:t>Serwis, części zamienne, instrukcje, gwarancja, FAQ i baza wiedzy</w:t>
            </w:r>
          </w:p>
        </w:tc>
        <w:tc>
          <w:tcPr>
            <w:tcW w:type="dxa" w:w="3419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6"/>
              </w:rPr>
              <w:t>Wyższe zaufanie oraz przewaga nad sprzedawcami bez zaplecza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850" w:right="992" w:bottom="822" w:left="992" w:header="397" w:footer="397" w:gutter="0"/>
          <w:cols w:space="720"/>
          <w:titlePg/>
          <w:docGrid w:linePitch="360"/>
        </w:sectPr>
      </w:pPr>
    </w:p>
    <w:p>
      <w:pPr>
        <w:pStyle w:val="Heading1"/>
        <w:spacing w:before="160" w:after="100"/>
        <w:keepNext w:val="1"/>
      </w:pPr>
      <w:r>
        <w:rPr>
          <w:rFonts w:ascii="Liberation Sans" w:hAnsi="Liberation Sans" w:eastAsia="Liberation Sans"/>
          <w:b/>
          <w:color w:val="2F6FB0"/>
          <w:sz w:val="32"/>
        </w:rPr>
        <w:t xml:space="preserve">02  </w:t>
      </w:r>
      <w:r>
        <w:rPr>
          <w:rFonts w:ascii="Liberation Sans" w:hAnsi="Liberation Sans" w:eastAsia="Liberation Sans"/>
          <w:b/>
          <w:color w:val="16324F"/>
          <w:sz w:val="32"/>
        </w:rPr>
        <w:t>Porównanie konkurentów</w:t>
      </w:r>
    </w:p>
    <w:p>
      <w:pPr>
        <w:spacing w:after="140"/>
      </w:pPr>
      <w:r>
        <w:rPr>
          <w:rFonts w:ascii="Liberation Sans" w:hAnsi="Liberation Sans" w:eastAsia="Liberation Sans"/>
          <w:color w:val="5E6C7A"/>
          <w:sz w:val="17"/>
        </w:rPr>
        <w:t>Tabela rozdziela elementy potwierdzone od hipotez. Systemy ERP/WMS nie są widoczne publicznie i nie powinny być traktowane jako stan faktyczny bez dodatkowej weryfikacji.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1361"/>
        <w:gridCol w:w="1417"/>
        <w:gridCol w:w="2098"/>
        <w:gridCol w:w="2494"/>
        <w:gridCol w:w="2494"/>
        <w:gridCol w:w="2608"/>
      </w:tblGrid>
      <w:tr>
        <w:trPr>
          <w:tblHeader w:val="true"/>
        </w:trPr>
        <w:tc>
          <w:tcPr>
            <w:tcW w:type="dxa" w:w="2036"/>
            <w:shd w:fill="16324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Sklep / rynek</w:t>
            </w:r>
          </w:p>
        </w:tc>
        <w:tc>
          <w:tcPr>
            <w:tcW w:type="dxa" w:w="2036"/>
            <w:shd w:fill="16324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Platforma</w:t>
            </w:r>
          </w:p>
        </w:tc>
        <w:tc>
          <w:tcPr>
            <w:tcW w:type="dxa" w:w="2036"/>
            <w:shd w:fill="16324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Model</w:t>
            </w:r>
          </w:p>
        </w:tc>
        <w:tc>
          <w:tcPr>
            <w:tcW w:type="dxa" w:w="2036"/>
            <w:shd w:fill="16324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B2B i ceny</w:t>
            </w:r>
          </w:p>
        </w:tc>
        <w:tc>
          <w:tcPr>
            <w:tcW w:type="dxa" w:w="2036"/>
            <w:shd w:fill="16324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Mocna strona</w:t>
            </w:r>
          </w:p>
        </w:tc>
        <w:tc>
          <w:tcPr>
            <w:tcW w:type="dxa" w:w="2036"/>
            <w:shd w:fill="16324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Słabość / luka</w:t>
            </w:r>
          </w:p>
        </w:tc>
        <w:tc>
          <w:tcPr>
            <w:tcW w:type="dxa" w:w="2036"/>
            <w:shd w:fill="16324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ERP/WMS - status</w:t>
            </w:r>
          </w:p>
        </w:tc>
      </w:tr>
      <w:tr>
        <w:tc>
          <w:tcPr>
            <w:tcW w:type="dxa" w:w="2154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6324F"/>
                <w:sz w:val="15"/>
              </w:rPr>
              <w:t>powermatic.store</w:t>
              <w:br/>
              <w:t>PL / UE</w:t>
            </w:r>
          </w:p>
        </w:tc>
        <w:tc>
          <w:tcPr>
            <w:tcW w:type="dxa" w:w="1361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16324F"/>
                <w:sz w:val="15"/>
              </w:rPr>
              <w:t>IdoSell</w:t>
            </w:r>
          </w:p>
        </w:tc>
        <w:tc>
          <w:tcPr>
            <w:tcW w:type="dxa" w:w="1417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5"/>
              </w:rPr>
              <w:t>B2C</w:t>
            </w:r>
          </w:p>
        </w:tc>
        <w:tc>
          <w:tcPr>
            <w:tcW w:type="dxa" w:w="2098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5"/>
              </w:rPr>
              <w:t>Ceny publiczne</w:t>
            </w:r>
          </w:p>
        </w:tc>
        <w:tc>
          <w:tcPr>
            <w:tcW w:type="dxa" w:w="2494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5"/>
              </w:rPr>
              <w:t>Czytelny koszyk, cross-border, progi dostawy</w:t>
            </w:r>
          </w:p>
        </w:tc>
        <w:tc>
          <w:tcPr>
            <w:tcW w:type="dxa" w:w="2494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5"/>
              </w:rPr>
              <w:t>Brak widocznej strefy hurtowej</w:t>
            </w:r>
          </w:p>
        </w:tc>
        <w:tc>
          <w:tcPr>
            <w:tcW w:type="dxa" w:w="2608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5"/>
              </w:rPr>
              <w:t>Subiekt/Comarch - hipoteza</w:t>
            </w:r>
          </w:p>
        </w:tc>
      </w:tr>
      <w:tr>
        <w:tc>
          <w:tcPr>
            <w:tcW w:type="dxa" w:w="2154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6324F"/>
                <w:sz w:val="15"/>
              </w:rPr>
              <w:t>powermatic.eu</w:t>
              <w:br/>
              <w:t>PL / UE</w:t>
            </w:r>
          </w:p>
        </w:tc>
        <w:tc>
          <w:tcPr>
            <w:tcW w:type="dxa" w:w="1361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16324F"/>
                <w:sz w:val="15"/>
              </w:rPr>
              <w:t>IdoSell</w:t>
            </w:r>
          </w:p>
        </w:tc>
        <w:tc>
          <w:tcPr>
            <w:tcW w:type="dxa" w:w="1417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5"/>
              </w:rPr>
              <w:t>B2C</w:t>
            </w:r>
          </w:p>
        </w:tc>
        <w:tc>
          <w:tcPr>
            <w:tcW w:type="dxa" w:w="2098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5"/>
              </w:rPr>
              <w:t>Ceny publiczne</w:t>
            </w:r>
          </w:p>
        </w:tc>
        <w:tc>
          <w:tcPr>
            <w:tcW w:type="dxa" w:w="2494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5"/>
              </w:rPr>
              <w:t>Wersje językowe i sprzedaż zagraniczna</w:t>
            </w:r>
          </w:p>
        </w:tc>
        <w:tc>
          <w:tcPr>
            <w:tcW w:type="dxa" w:w="2494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5"/>
              </w:rPr>
              <w:t>Duże podobieństwo do powermatic.store</w:t>
            </w:r>
          </w:p>
        </w:tc>
        <w:tc>
          <w:tcPr>
            <w:tcW w:type="dxa" w:w="2608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5"/>
              </w:rPr>
              <w:t>Subiekt/Comarch - hipoteza</w:t>
            </w:r>
          </w:p>
        </w:tc>
      </w:tr>
      <w:tr>
        <w:tc>
          <w:tcPr>
            <w:tcW w:type="dxa" w:w="2154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6324F"/>
                <w:sz w:val="15"/>
              </w:rPr>
              <w:t>primonet.ro</w:t>
              <w:br/>
              <w:t>RO</w:t>
            </w:r>
          </w:p>
        </w:tc>
        <w:tc>
          <w:tcPr>
            <w:tcW w:type="dxa" w:w="1361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16324F"/>
                <w:sz w:val="15"/>
              </w:rPr>
              <w:t>Magento 2</w:t>
            </w:r>
          </w:p>
        </w:tc>
        <w:tc>
          <w:tcPr>
            <w:tcW w:type="dxa" w:w="1417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5"/>
              </w:rPr>
              <w:t>B2B + B2C</w:t>
            </w:r>
          </w:p>
        </w:tc>
        <w:tc>
          <w:tcPr>
            <w:tcW w:type="dxa" w:w="2098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5"/>
              </w:rPr>
              <w:t>Detal publiczny; hurt po logowaniu</w:t>
            </w:r>
          </w:p>
        </w:tc>
        <w:tc>
          <w:tcPr>
            <w:tcW w:type="dxa" w:w="2494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5"/>
              </w:rPr>
              <w:t>Szeroki katalog i dojrzały model dystrybucji</w:t>
            </w:r>
          </w:p>
        </w:tc>
        <w:tc>
          <w:tcPr>
            <w:tcW w:type="dxa" w:w="2494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5"/>
              </w:rPr>
              <w:t>Cięższy, kosztowniejszy ekosystem</w:t>
            </w:r>
          </w:p>
        </w:tc>
        <w:tc>
          <w:tcPr>
            <w:tcW w:type="dxa" w:w="2608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5"/>
              </w:rPr>
              <w:t>SmartBill / SAP B1 - hipoteza</w:t>
            </w:r>
          </w:p>
        </w:tc>
      </w:tr>
      <w:tr>
        <w:tc>
          <w:tcPr>
            <w:tcW w:type="dxa" w:w="2154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6324F"/>
                <w:sz w:val="15"/>
              </w:rPr>
              <w:t>kyset.com.ua</w:t>
              <w:br/>
              <w:t>UA</w:t>
            </w:r>
          </w:p>
        </w:tc>
        <w:tc>
          <w:tcPr>
            <w:tcW w:type="dxa" w:w="1361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16324F"/>
                <w:sz w:val="15"/>
              </w:rPr>
              <w:t>Horoshop</w:t>
            </w:r>
          </w:p>
        </w:tc>
        <w:tc>
          <w:tcPr>
            <w:tcW w:type="dxa" w:w="1417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5"/>
              </w:rPr>
              <w:t>B2B + B2C</w:t>
            </w:r>
          </w:p>
        </w:tc>
        <w:tc>
          <w:tcPr>
            <w:tcW w:type="dxa" w:w="2098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5"/>
              </w:rPr>
              <w:t>Rabaty ilościowe</w:t>
            </w:r>
          </w:p>
        </w:tc>
        <w:tc>
          <w:tcPr>
            <w:tcW w:type="dxa" w:w="2494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5"/>
              </w:rPr>
              <w:t>Filtry, warianty i praktyczny katalog</w:t>
            </w:r>
          </w:p>
        </w:tc>
        <w:tc>
          <w:tcPr>
            <w:tcW w:type="dxa" w:w="2494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5"/>
              </w:rPr>
              <w:t>Mniej premium w warstwie marki</w:t>
            </w:r>
          </w:p>
        </w:tc>
        <w:tc>
          <w:tcPr>
            <w:tcW w:type="dxa" w:w="2608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5"/>
              </w:rPr>
              <w:t>1C / BAS - hipoteza</w:t>
            </w:r>
          </w:p>
        </w:tc>
      </w:tr>
      <w:tr>
        <w:tc>
          <w:tcPr>
            <w:tcW w:type="dxa" w:w="2154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6324F"/>
                <w:sz w:val="15"/>
              </w:rPr>
              <w:t>topgilza.com.ua</w:t>
              <w:br/>
              <w:t>UA</w:t>
            </w:r>
          </w:p>
        </w:tc>
        <w:tc>
          <w:tcPr>
            <w:tcW w:type="dxa" w:w="1361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16324F"/>
                <w:sz w:val="15"/>
              </w:rPr>
              <w:t>OpenCart</w:t>
            </w:r>
          </w:p>
        </w:tc>
        <w:tc>
          <w:tcPr>
            <w:tcW w:type="dxa" w:w="1417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5"/>
              </w:rPr>
              <w:t>B2C + kontakt hurtowy</w:t>
            </w:r>
          </w:p>
        </w:tc>
        <w:tc>
          <w:tcPr>
            <w:tcW w:type="dxa" w:w="2098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5"/>
              </w:rPr>
              <w:t>Ceny publiczne</w:t>
            </w:r>
          </w:p>
        </w:tc>
        <w:tc>
          <w:tcPr>
            <w:tcW w:type="dxa" w:w="2494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5"/>
              </w:rPr>
              <w:t>Niski koszt utrzymania</w:t>
            </w:r>
          </w:p>
        </w:tc>
        <w:tc>
          <w:tcPr>
            <w:tcW w:type="dxa" w:w="2494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5"/>
              </w:rPr>
              <w:t>Budżetowa prezentacja, ograniczona automatyzacja B2B</w:t>
            </w:r>
          </w:p>
        </w:tc>
        <w:tc>
          <w:tcPr>
            <w:tcW w:type="dxa" w:w="2608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5"/>
              </w:rPr>
              <w:t>1C / Prom.ua - hipoteza</w:t>
            </w:r>
          </w:p>
        </w:tc>
      </w:tr>
      <w:tr>
        <w:tc>
          <w:tcPr>
            <w:tcW w:type="dxa" w:w="2154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6324F"/>
                <w:sz w:val="15"/>
              </w:rPr>
              <w:t>all24.at</w:t>
              <w:br/>
              <w:t>AT / DACH</w:t>
            </w:r>
          </w:p>
        </w:tc>
        <w:tc>
          <w:tcPr>
            <w:tcW w:type="dxa" w:w="1361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16324F"/>
                <w:sz w:val="15"/>
              </w:rPr>
              <w:t>Magento</w:t>
            </w:r>
          </w:p>
        </w:tc>
        <w:tc>
          <w:tcPr>
            <w:tcW w:type="dxa" w:w="1417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5"/>
              </w:rPr>
              <w:t>B2C + dealerzy</w:t>
            </w:r>
          </w:p>
        </w:tc>
        <w:tc>
          <w:tcPr>
            <w:tcW w:type="dxa" w:w="2098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5"/>
              </w:rPr>
              <w:t>Ceny publiczne</w:t>
            </w:r>
          </w:p>
        </w:tc>
        <w:tc>
          <w:tcPr>
            <w:tcW w:type="dxa" w:w="2494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5"/>
              </w:rPr>
              <w:t>Duży katalog i zasięg DACH</w:t>
            </w:r>
          </w:p>
        </w:tc>
        <w:tc>
          <w:tcPr>
            <w:tcW w:type="dxa" w:w="2494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5"/>
              </w:rPr>
              <w:t>Powermatic jest jedną z wielu kategorii</w:t>
            </w:r>
          </w:p>
        </w:tc>
        <w:tc>
          <w:tcPr>
            <w:tcW w:type="dxa" w:w="2608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5"/>
              </w:rPr>
              <w:t>BMD / SAP / Navision - hipoteza</w:t>
            </w:r>
          </w:p>
        </w:tc>
      </w:tr>
      <w:tr>
        <w:tc>
          <w:tcPr>
            <w:tcW w:type="dxa" w:w="2154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6324F"/>
                <w:sz w:val="15"/>
              </w:rPr>
              <w:t>skleptytoniowy.pl</w:t>
              <w:br/>
              <w:t>PL</w:t>
            </w:r>
          </w:p>
        </w:tc>
        <w:tc>
          <w:tcPr>
            <w:tcW w:type="dxa" w:w="1361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16324F"/>
                <w:sz w:val="15"/>
              </w:rPr>
              <w:t>PrestaShop</w:t>
            </w:r>
          </w:p>
        </w:tc>
        <w:tc>
          <w:tcPr>
            <w:tcW w:type="dxa" w:w="1417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5"/>
              </w:rPr>
              <w:t>B2B + B2C</w:t>
            </w:r>
          </w:p>
        </w:tc>
        <w:tc>
          <w:tcPr>
            <w:tcW w:type="dxa" w:w="2098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5"/>
              </w:rPr>
              <w:t>Ceny hurtowe po weryfikacji</w:t>
            </w:r>
          </w:p>
        </w:tc>
        <w:tc>
          <w:tcPr>
            <w:tcW w:type="dxa" w:w="2494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5"/>
              </w:rPr>
              <w:t>Wyraźne kategorie i model hurtowy</w:t>
            </w:r>
          </w:p>
        </w:tc>
        <w:tc>
          <w:tcPr>
            <w:tcW w:type="dxa" w:w="2494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5"/>
              </w:rPr>
              <w:t>Mniej wyspecjalizowana prezentacja marki</w:t>
            </w:r>
          </w:p>
        </w:tc>
        <w:tc>
          <w:tcPr>
            <w:tcW w:type="dxa" w:w="2608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5"/>
              </w:rPr>
              <w:t>Subiekt / Comarch - hipoteza</w:t>
            </w:r>
          </w:p>
        </w:tc>
      </w:tr>
      <w:tr>
        <w:tc>
          <w:tcPr>
            <w:tcW w:type="dxa" w:w="2154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6324F"/>
                <w:sz w:val="15"/>
              </w:rPr>
              <w:t>powermatic-stopfmaschine.de</w:t>
              <w:br/>
              <w:t>DE</w:t>
            </w:r>
          </w:p>
        </w:tc>
        <w:tc>
          <w:tcPr>
            <w:tcW w:type="dxa" w:w="1361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16324F"/>
                <w:sz w:val="15"/>
              </w:rPr>
              <w:t>WooCommerce</w:t>
            </w:r>
          </w:p>
        </w:tc>
        <w:tc>
          <w:tcPr>
            <w:tcW w:type="dxa" w:w="1417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5"/>
              </w:rPr>
              <w:t>B2C</w:t>
            </w:r>
          </w:p>
        </w:tc>
        <w:tc>
          <w:tcPr>
            <w:tcW w:type="dxa" w:w="2098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5"/>
              </w:rPr>
              <w:t>Ceny publiczne</w:t>
            </w:r>
          </w:p>
        </w:tc>
        <w:tc>
          <w:tcPr>
            <w:tcW w:type="dxa" w:w="2494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5"/>
              </w:rPr>
              <w:t>Treści edukacyjne, serwis, części, zaufanie</w:t>
            </w:r>
          </w:p>
        </w:tc>
        <w:tc>
          <w:tcPr>
            <w:tcW w:type="dxa" w:w="2494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5"/>
              </w:rPr>
              <w:t>Brak widocznego procesu B2B</w:t>
            </w:r>
          </w:p>
        </w:tc>
        <w:tc>
          <w:tcPr>
            <w:tcW w:type="dxa" w:w="2608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5"/>
              </w:rPr>
              <w:t>JTL / Pickware / Billbee - hipoteza</w:t>
            </w:r>
          </w:p>
        </w:tc>
      </w:tr>
    </w:tbl>
    <w:p>
      <w:pPr>
        <w:spacing w:before="120" w:after="0"/>
      </w:pPr>
      <w:r>
        <w:rPr>
          <w:rFonts w:ascii="Liberation Sans" w:hAnsi="Liberation Sans" w:eastAsia="Liberation Sans"/>
          <w:b/>
          <w:color w:val="0F766E"/>
          <w:sz w:val="17"/>
        </w:rPr>
        <w:t xml:space="preserve">Najsilniejsze wzorce do połączenia: </w:t>
      </w:r>
      <w:r>
        <w:rPr>
          <w:rFonts w:ascii="Liberation Sans" w:hAnsi="Liberation Sans" w:eastAsia="Liberation Sans"/>
          <w:color w:val="263445"/>
          <w:sz w:val="17"/>
        </w:rPr>
        <w:t>cross-border i wygodny checkout z IdoSell + kontrola dostępu B2B z Magento/PrestaShop + warstwa serwisowo-edukacyjna z niemieckiego sklepu one-brand.</w:t>
      </w:r>
    </w:p>
    <w:p>
      <w:pPr>
        <w:sectPr>
          <w:headerReference w:type="default" r:id="rId11"/>
          <w:footerReference w:type="default" r:id="rId12"/>
          <w:pgSz w:w="15840" w:h="12240" w:orient="landscape"/>
          <w:pgMar w:top="794" w:right="794" w:bottom="765" w:left="794" w:header="340" w:footer="340" w:gutter="0"/>
          <w:cols w:space="720"/>
          <w:titlePg/>
          <w:docGrid w:linePitch="360"/>
        </w:sectPr>
      </w:pPr>
    </w:p>
    <w:p>
      <w:pPr>
        <w:pStyle w:val="Heading1"/>
        <w:spacing w:before="160" w:after="100"/>
        <w:keepNext w:val="1"/>
      </w:pPr>
      <w:r>
        <w:rPr>
          <w:rFonts w:ascii="Liberation Sans" w:hAnsi="Liberation Sans" w:eastAsia="Liberation Sans"/>
          <w:b/>
          <w:color w:val="2F6FB0"/>
          <w:sz w:val="32"/>
        </w:rPr>
        <w:t xml:space="preserve">03  </w:t>
      </w:r>
      <w:r>
        <w:rPr>
          <w:rFonts w:ascii="Liberation Sans" w:hAnsi="Liberation Sans" w:eastAsia="Liberation Sans"/>
          <w:b/>
          <w:color w:val="16324F"/>
          <w:sz w:val="32"/>
        </w:rPr>
        <w:t>Profile sklepów</w:t>
      </w:r>
    </w:p>
    <w:p>
      <w:pPr>
        <w:spacing w:after="120"/>
      </w:pPr>
      <w:r>
        <w:rPr>
          <w:rFonts w:ascii="Liberation Sans" w:hAnsi="Liberation Sans" w:eastAsia="Liberation Sans"/>
          <w:color w:val="5E6C7A"/>
          <w:sz w:val="17"/>
        </w:rPr>
        <w:t>Każdy profil ma jednolity układ, dzięki czemu łatwo oddzielić model handlowy, warstwę techniczną i elementy warte wykorzystania.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10312"/>
            <w:shd w:fill="FFFFFF"/>
            <w:tcBorders>
              <w:top w:sz="8" w:val="single" w:color="2F6FB0"/>
              <w:left w:sz="4" w:val="single" w:color="D7E0E8"/>
              <w:bottom w:sz="4" w:val="single" w:color="D7E0E8"/>
              <w:right w:sz="4" w:val="single" w:color="D7E0E8"/>
            </w:tcBorders>
            <w:tcMar>
              <w:top w:w="11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16324F"/>
                <w:sz w:val="22"/>
              </w:rPr>
              <w:t>01  powermatic.store</w:t>
            </w:r>
            <w:r>
              <w:t xml:space="preserve">   </w:t>
            </w:r>
            <w:hyperlink r:id="rId15">
              <w:r>
                <w:rPr>
                  <w:rFonts w:ascii="Liberation Sans" w:hAnsi="Liberation Sans"/>
                  <w:color w:val="2F6FB0"/>
                  <w:u w:val="single"/>
                </w:rPr>
                <w:t>otwórz sklep</w:t>
              </w:r>
            </w:hyperlink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701"/>
              <w:gridCol w:w="3061"/>
              <w:gridCol w:w="1701"/>
              <w:gridCol w:w="3061"/>
            </w:tblGrid>
            <w:tr>
              <w:tc>
                <w:tcPr>
                  <w:tcW w:type="dxa" w:w="2578"/>
                  <w:shd w:fill="F3F6F9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5E6C7A"/>
                      <w:sz w:val="14"/>
                    </w:rPr>
                    <w:t>RYNEK</w:t>
                  </w:r>
                </w:p>
              </w:tc>
              <w:tc>
                <w:tcPr>
                  <w:tcW w:type="dxa" w:w="2578"/>
                  <w:shd w:fill="FFFFFF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 w:val="0"/>
                      <w:color w:val="263445"/>
                      <w:sz w:val="16"/>
                    </w:rPr>
                    <w:t>Polska / UE</w:t>
                  </w:r>
                </w:p>
              </w:tc>
              <w:tc>
                <w:tcPr>
                  <w:tcW w:type="dxa" w:w="2578"/>
                  <w:shd w:fill="F3F6F9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5E6C7A"/>
                      <w:sz w:val="14"/>
                    </w:rPr>
                    <w:t>PLATFORMA</w:t>
                  </w:r>
                </w:p>
              </w:tc>
              <w:tc>
                <w:tcPr>
                  <w:tcW w:type="dxa" w:w="2578"/>
                  <w:shd w:fill="FFFFFF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263445"/>
                      <w:sz w:val="16"/>
                    </w:rPr>
                    <w:t>IdoSell</w:t>
                  </w:r>
                </w:p>
              </w:tc>
            </w:tr>
            <w:tr>
              <w:tc>
                <w:tcPr>
                  <w:tcW w:type="dxa" w:w="2578"/>
                  <w:shd w:fill="F3F6F9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5E6C7A"/>
                      <w:sz w:val="14"/>
                    </w:rPr>
                    <w:t>MODEL</w:t>
                  </w:r>
                </w:p>
              </w:tc>
              <w:tc>
                <w:tcPr>
                  <w:tcW w:type="dxa" w:w="2578"/>
                  <w:shd w:fill="FFFFFF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263445"/>
                      <w:sz w:val="16"/>
                    </w:rPr>
                    <w:t>B2C</w:t>
                  </w:r>
                </w:p>
              </w:tc>
              <w:tc>
                <w:tcPr>
                  <w:tcW w:type="dxa" w:w="2578"/>
                  <w:shd w:fill="F3F6F9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5E6C7A"/>
                      <w:sz w:val="14"/>
                    </w:rPr>
                    <w:t>PEWNOŚĆ</w:t>
                  </w:r>
                </w:p>
              </w:tc>
              <w:tc>
                <w:tcPr>
                  <w:tcW w:type="dxa" w:w="2578"/>
                  <w:shd w:fill="FFFFFF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 w:val="0"/>
                      <w:color w:val="263445"/>
                      <w:sz w:val="16"/>
                    </w:rPr>
                    <w:t>Wysoka dla platformy; niska dla ERP</w:t>
                  </w:r>
                </w:p>
              </w:tc>
            </w:tr>
          </w:tbl>
          <w:p/>
          <w:p>
            <w:pPr>
              <w:spacing w:before="80" w:after="20"/>
            </w:pPr>
            <w:r>
              <w:rPr>
                <w:rFonts w:ascii="Liberation Sans" w:hAnsi="Liberation Sans" w:eastAsia="Liberation Sans"/>
                <w:b/>
                <w:color w:val="263445"/>
                <w:sz w:val="17"/>
              </w:rPr>
              <w:t xml:space="preserve">Doświadczenie i prezentacja: </w:t>
            </w:r>
            <w:r>
              <w:rPr>
                <w:rFonts w:ascii="Liberation Sans" w:hAnsi="Liberation Sans" w:eastAsia="Liberation Sans"/>
                <w:color w:val="263445"/>
                <w:sz w:val="17"/>
              </w:rPr>
              <w:t>Nowoczesny, uporządkowany sklep z przejrzystym koszykiem, widocznym progiem darmowej dostawy i elementami logowania społecznościowego.</w:t>
            </w:r>
          </w:p>
          <w:p>
            <w:pPr>
              <w:spacing w:after="20"/>
            </w:pPr>
            <w:r>
              <w:rPr>
                <w:rFonts w:ascii="Liberation Sans" w:hAnsi="Liberation Sans" w:eastAsia="Liberation Sans"/>
                <w:b/>
                <w:color w:val="263445"/>
                <w:sz w:val="17"/>
              </w:rPr>
              <w:t xml:space="preserve">Ceny / dostęp B2B: </w:t>
            </w:r>
            <w:r>
              <w:rPr>
                <w:rFonts w:ascii="Liberation Sans" w:hAnsi="Liberation Sans" w:eastAsia="Liberation Sans"/>
                <w:color w:val="263445"/>
                <w:sz w:val="17"/>
              </w:rPr>
              <w:t>Ceny publiczne; brak widocznej strefy hurtowej.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263445"/>
                <w:sz w:val="17"/>
              </w:rPr>
              <w:t xml:space="preserve">ERP / magazyn: </w:t>
            </w:r>
            <w:r>
              <w:rPr>
                <w:rFonts w:ascii="Liberation Sans" w:hAnsi="Liberation Sans" w:eastAsia="Liberation Sans"/>
                <w:color w:val="263445"/>
                <w:sz w:val="17"/>
              </w:rPr>
              <w:t>Wbudowane funkcje IdoSell; integracja z Subiektem lub Comarchem jest prawdopodobna, ale niepotwierdzona.</w:t>
            </w:r>
          </w:p>
          <w:p>
            <w:pPr>
              <w:spacing w:before="60" w:after="0"/>
            </w:pPr>
            <w:r>
              <w:rPr>
                <w:rFonts w:ascii="Liberation Sans" w:hAnsi="Liberation Sans" w:eastAsia="Liberation Sans"/>
                <w:b/>
                <w:color w:val="0F766E"/>
                <w:sz w:val="17"/>
              </w:rPr>
              <w:t xml:space="preserve">Wniosek: </w:t>
            </w:r>
            <w:r>
              <w:rPr>
                <w:rFonts w:ascii="Liberation Sans" w:hAnsi="Liberation Sans" w:eastAsia="Liberation Sans"/>
                <w:color w:val="263445"/>
                <w:sz w:val="17"/>
              </w:rPr>
              <w:t>Dobry benchmark procesu zakupu i sprzedaży transgranicznej.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10312"/>
            <w:shd w:fill="FFFFFF"/>
            <w:tcBorders>
              <w:top w:sz="8" w:val="single" w:color="2F6FB0"/>
              <w:left w:sz="4" w:val="single" w:color="D7E0E8"/>
              <w:bottom w:sz="4" w:val="single" w:color="D7E0E8"/>
              <w:right w:sz="4" w:val="single" w:color="D7E0E8"/>
            </w:tcBorders>
            <w:tcMar>
              <w:top w:w="11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16324F"/>
                <w:sz w:val="22"/>
              </w:rPr>
              <w:t>02  powermatic.eu</w:t>
            </w:r>
            <w:r>
              <w:t xml:space="preserve">   </w:t>
            </w:r>
            <w:hyperlink r:id="rId16">
              <w:r>
                <w:rPr>
                  <w:rFonts w:ascii="Liberation Sans" w:hAnsi="Liberation Sans"/>
                  <w:color w:val="2F6FB0"/>
                  <w:u w:val="single"/>
                </w:rPr>
                <w:t>otwórz sklep</w:t>
              </w:r>
            </w:hyperlink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701"/>
              <w:gridCol w:w="3061"/>
              <w:gridCol w:w="1701"/>
              <w:gridCol w:w="3061"/>
            </w:tblGrid>
            <w:tr>
              <w:tc>
                <w:tcPr>
                  <w:tcW w:type="dxa" w:w="2578"/>
                  <w:shd w:fill="F3F6F9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5E6C7A"/>
                      <w:sz w:val="14"/>
                    </w:rPr>
                    <w:t>RYNEK</w:t>
                  </w:r>
                </w:p>
              </w:tc>
              <w:tc>
                <w:tcPr>
                  <w:tcW w:type="dxa" w:w="2578"/>
                  <w:shd w:fill="FFFFFF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 w:val="0"/>
                      <w:color w:val="263445"/>
                      <w:sz w:val="16"/>
                    </w:rPr>
                    <w:t>Polska / UE</w:t>
                  </w:r>
                </w:p>
              </w:tc>
              <w:tc>
                <w:tcPr>
                  <w:tcW w:type="dxa" w:w="2578"/>
                  <w:shd w:fill="F3F6F9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5E6C7A"/>
                      <w:sz w:val="14"/>
                    </w:rPr>
                    <w:t>PLATFORMA</w:t>
                  </w:r>
                </w:p>
              </w:tc>
              <w:tc>
                <w:tcPr>
                  <w:tcW w:type="dxa" w:w="2578"/>
                  <w:shd w:fill="FFFFFF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263445"/>
                      <w:sz w:val="16"/>
                    </w:rPr>
                    <w:t>IdoSell</w:t>
                  </w:r>
                </w:p>
              </w:tc>
            </w:tr>
            <w:tr>
              <w:tc>
                <w:tcPr>
                  <w:tcW w:type="dxa" w:w="2578"/>
                  <w:shd w:fill="F3F6F9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5E6C7A"/>
                      <w:sz w:val="14"/>
                    </w:rPr>
                    <w:t>MODEL</w:t>
                  </w:r>
                </w:p>
              </w:tc>
              <w:tc>
                <w:tcPr>
                  <w:tcW w:type="dxa" w:w="2578"/>
                  <w:shd w:fill="FFFFFF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263445"/>
                      <w:sz w:val="16"/>
                    </w:rPr>
                    <w:t>B2C</w:t>
                  </w:r>
                </w:p>
              </w:tc>
              <w:tc>
                <w:tcPr>
                  <w:tcW w:type="dxa" w:w="2578"/>
                  <w:shd w:fill="F3F6F9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5E6C7A"/>
                      <w:sz w:val="14"/>
                    </w:rPr>
                    <w:t>PEWNOŚĆ</w:t>
                  </w:r>
                </w:p>
              </w:tc>
              <w:tc>
                <w:tcPr>
                  <w:tcW w:type="dxa" w:w="2578"/>
                  <w:shd w:fill="FFFFFF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 w:val="0"/>
                      <w:color w:val="263445"/>
                      <w:sz w:val="16"/>
                    </w:rPr>
                    <w:t>Wysoka dla platformy; niska dla ERP</w:t>
                  </w:r>
                </w:p>
              </w:tc>
            </w:tr>
          </w:tbl>
          <w:p/>
          <w:p>
            <w:pPr>
              <w:spacing w:before="80" w:after="20"/>
            </w:pPr>
            <w:r>
              <w:rPr>
                <w:rFonts w:ascii="Liberation Sans" w:hAnsi="Liberation Sans" w:eastAsia="Liberation Sans"/>
                <w:b/>
                <w:color w:val="263445"/>
                <w:sz w:val="17"/>
              </w:rPr>
              <w:t xml:space="preserve">Doświadczenie i prezentacja: </w:t>
            </w:r>
            <w:r>
              <w:rPr>
                <w:rFonts w:ascii="Liberation Sans" w:hAnsi="Liberation Sans" w:eastAsia="Liberation Sans"/>
                <w:color w:val="263445"/>
                <w:sz w:val="17"/>
              </w:rPr>
              <w:t>Sklep nastawiony na wersje językowe i rynki zagraniczne; układ bardzo zbliżony do powermatic.store.</w:t>
            </w:r>
          </w:p>
          <w:p>
            <w:pPr>
              <w:spacing w:after="20"/>
            </w:pPr>
            <w:r>
              <w:rPr>
                <w:rFonts w:ascii="Liberation Sans" w:hAnsi="Liberation Sans" w:eastAsia="Liberation Sans"/>
                <w:b/>
                <w:color w:val="263445"/>
                <w:sz w:val="17"/>
              </w:rPr>
              <w:t xml:space="preserve">Ceny / dostęp B2B: </w:t>
            </w:r>
            <w:r>
              <w:rPr>
                <w:rFonts w:ascii="Liberation Sans" w:hAnsi="Liberation Sans" w:eastAsia="Liberation Sans"/>
                <w:color w:val="263445"/>
                <w:sz w:val="17"/>
              </w:rPr>
              <w:t>Ceny publiczne, dopasowane do sprzedaży międzynarodowej.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263445"/>
                <w:sz w:val="17"/>
              </w:rPr>
              <w:t xml:space="preserve">ERP / magazyn: </w:t>
            </w:r>
            <w:r>
              <w:rPr>
                <w:rFonts w:ascii="Liberation Sans" w:hAnsi="Liberation Sans" w:eastAsia="Liberation Sans"/>
                <w:color w:val="263445"/>
                <w:sz w:val="17"/>
              </w:rPr>
              <w:t>IdoSell potwierdzony; backend ERP wymaga weryfikacji.</w:t>
            </w:r>
          </w:p>
          <w:p>
            <w:pPr>
              <w:spacing w:before="60" w:after="0"/>
            </w:pPr>
            <w:r>
              <w:rPr>
                <w:rFonts w:ascii="Liberation Sans" w:hAnsi="Liberation Sans" w:eastAsia="Liberation Sans"/>
                <w:b/>
                <w:color w:val="0F766E"/>
                <w:sz w:val="17"/>
              </w:rPr>
              <w:t xml:space="preserve">Wniosek: </w:t>
            </w:r>
            <w:r>
              <w:rPr>
                <w:rFonts w:ascii="Liberation Sans" w:hAnsi="Liberation Sans" w:eastAsia="Liberation Sans"/>
                <w:color w:val="263445"/>
                <w:sz w:val="17"/>
              </w:rPr>
              <w:t>Warto przejąć spójny model językowy i walutowy, ale unikać mnożenia prawie identycznych sklepów.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10312"/>
            <w:shd w:fill="FFFFFF"/>
            <w:tcBorders>
              <w:top w:sz="8" w:val="single" w:color="2F6FB0"/>
              <w:left w:sz="4" w:val="single" w:color="D7E0E8"/>
              <w:bottom w:sz="4" w:val="single" w:color="D7E0E8"/>
              <w:right w:sz="4" w:val="single" w:color="D7E0E8"/>
            </w:tcBorders>
            <w:tcMar>
              <w:top w:w="11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16324F"/>
                <w:sz w:val="22"/>
              </w:rPr>
              <w:t>03  primonet.ro / tuburiaparate.ro</w:t>
            </w:r>
            <w:r>
              <w:t xml:space="preserve">   </w:t>
            </w:r>
            <w:hyperlink r:id="rId17">
              <w:r>
                <w:rPr>
                  <w:rFonts w:ascii="Liberation Sans" w:hAnsi="Liberation Sans"/>
                  <w:color w:val="2F6FB0"/>
                  <w:u w:val="single"/>
                </w:rPr>
                <w:t>otwórz sklep</w:t>
              </w:r>
            </w:hyperlink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701"/>
              <w:gridCol w:w="3061"/>
              <w:gridCol w:w="1701"/>
              <w:gridCol w:w="3061"/>
            </w:tblGrid>
            <w:tr>
              <w:tc>
                <w:tcPr>
                  <w:tcW w:type="dxa" w:w="2578"/>
                  <w:shd w:fill="F3F6F9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5E6C7A"/>
                      <w:sz w:val="14"/>
                    </w:rPr>
                    <w:t>RYNEK</w:t>
                  </w:r>
                </w:p>
              </w:tc>
              <w:tc>
                <w:tcPr>
                  <w:tcW w:type="dxa" w:w="2578"/>
                  <w:shd w:fill="FFFFFF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 w:val="0"/>
                      <w:color w:val="263445"/>
                      <w:sz w:val="16"/>
                    </w:rPr>
                    <w:t>Rumunia</w:t>
                  </w:r>
                </w:p>
              </w:tc>
              <w:tc>
                <w:tcPr>
                  <w:tcW w:type="dxa" w:w="2578"/>
                  <w:shd w:fill="F3F6F9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5E6C7A"/>
                      <w:sz w:val="14"/>
                    </w:rPr>
                    <w:t>PLATFORMA</w:t>
                  </w:r>
                </w:p>
              </w:tc>
              <w:tc>
                <w:tcPr>
                  <w:tcW w:type="dxa" w:w="2578"/>
                  <w:shd w:fill="FFFFFF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263445"/>
                      <w:sz w:val="16"/>
                    </w:rPr>
                    <w:t>Magento 2</w:t>
                  </w:r>
                </w:p>
              </w:tc>
            </w:tr>
            <w:tr>
              <w:tc>
                <w:tcPr>
                  <w:tcW w:type="dxa" w:w="2578"/>
                  <w:shd w:fill="F3F6F9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5E6C7A"/>
                      <w:sz w:val="14"/>
                    </w:rPr>
                    <w:t>MODEL</w:t>
                  </w:r>
                </w:p>
              </w:tc>
              <w:tc>
                <w:tcPr>
                  <w:tcW w:type="dxa" w:w="2578"/>
                  <w:shd w:fill="FFFFFF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263445"/>
                      <w:sz w:val="16"/>
                    </w:rPr>
                    <w:t>B2B + B2C</w:t>
                  </w:r>
                </w:p>
              </w:tc>
              <w:tc>
                <w:tcPr>
                  <w:tcW w:type="dxa" w:w="2578"/>
                  <w:shd w:fill="F3F6F9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5E6C7A"/>
                      <w:sz w:val="14"/>
                    </w:rPr>
                    <w:t>PEWNOŚĆ</w:t>
                  </w:r>
                </w:p>
              </w:tc>
              <w:tc>
                <w:tcPr>
                  <w:tcW w:type="dxa" w:w="2578"/>
                  <w:shd w:fill="FFFFFF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 w:val="0"/>
                      <w:color w:val="263445"/>
                      <w:sz w:val="16"/>
                    </w:rPr>
                    <w:t>Wysoka dla platformy i modelu; niska dla ERP</w:t>
                  </w:r>
                </w:p>
              </w:tc>
            </w:tr>
          </w:tbl>
          <w:p/>
          <w:p>
            <w:pPr>
              <w:spacing w:before="80" w:after="20"/>
            </w:pPr>
            <w:r>
              <w:rPr>
                <w:rFonts w:ascii="Liberation Sans" w:hAnsi="Liberation Sans" w:eastAsia="Liberation Sans"/>
                <w:b/>
                <w:color w:val="263445"/>
                <w:sz w:val="17"/>
              </w:rPr>
              <w:t xml:space="preserve">Doświadczenie i prezentacja: </w:t>
            </w:r>
            <w:r>
              <w:rPr>
                <w:rFonts w:ascii="Liberation Sans" w:hAnsi="Liberation Sans" w:eastAsia="Liberation Sans"/>
                <w:color w:val="263445"/>
                <w:sz w:val="17"/>
              </w:rPr>
              <w:t>Rozbudowany katalog dystrybutora, szerokie opisy i układ nastawiony na obsługę wielu grup produktów.</w:t>
            </w:r>
          </w:p>
          <w:p>
            <w:pPr>
              <w:spacing w:after="20"/>
            </w:pPr>
            <w:r>
              <w:rPr>
                <w:rFonts w:ascii="Liberation Sans" w:hAnsi="Liberation Sans" w:eastAsia="Liberation Sans"/>
                <w:b/>
                <w:color w:val="263445"/>
                <w:sz w:val="17"/>
              </w:rPr>
              <w:t xml:space="preserve">Ceny / dostęp B2B: </w:t>
            </w:r>
            <w:r>
              <w:rPr>
                <w:rFonts w:ascii="Liberation Sans" w:hAnsi="Liberation Sans" w:eastAsia="Liberation Sans"/>
                <w:color w:val="263445"/>
                <w:sz w:val="17"/>
              </w:rPr>
              <w:t>Detal publiczny; dostęp do warunków B2B po zalogowaniu.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263445"/>
                <w:sz w:val="17"/>
              </w:rPr>
              <w:t xml:space="preserve">ERP / magazyn: </w:t>
            </w:r>
            <w:r>
              <w:rPr>
                <w:rFonts w:ascii="Liberation Sans" w:hAnsi="Liberation Sans" w:eastAsia="Liberation Sans"/>
                <w:color w:val="263445"/>
                <w:sz w:val="17"/>
              </w:rPr>
              <w:t>SmartBill lub SAP Business One są możliwe, lecz niewidoczne publicznie.</w:t>
            </w:r>
          </w:p>
          <w:p>
            <w:pPr>
              <w:spacing w:before="60" w:after="0"/>
            </w:pPr>
            <w:r>
              <w:rPr>
                <w:rFonts w:ascii="Liberation Sans" w:hAnsi="Liberation Sans" w:eastAsia="Liberation Sans"/>
                <w:b/>
                <w:color w:val="0F766E"/>
                <w:sz w:val="17"/>
              </w:rPr>
              <w:t xml:space="preserve">Wniosek: </w:t>
            </w:r>
            <w:r>
              <w:rPr>
                <w:rFonts w:ascii="Liberation Sans" w:hAnsi="Liberation Sans" w:eastAsia="Liberation Sans"/>
                <w:color w:val="263445"/>
                <w:sz w:val="17"/>
              </w:rPr>
              <w:t>Najlepszy benchmark kontroli cenników i kont firmowych.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10312"/>
            <w:shd w:fill="FFFFFF"/>
            <w:tcBorders>
              <w:top w:sz="8" w:val="single" w:color="2F6FB0"/>
              <w:left w:sz="4" w:val="single" w:color="D7E0E8"/>
              <w:bottom w:sz="4" w:val="single" w:color="D7E0E8"/>
              <w:right w:sz="4" w:val="single" w:color="D7E0E8"/>
            </w:tcBorders>
            <w:tcMar>
              <w:top w:w="11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16324F"/>
                <w:sz w:val="22"/>
              </w:rPr>
              <w:t>04  kyset.com.ua</w:t>
            </w:r>
            <w:r>
              <w:t xml:space="preserve">   </w:t>
            </w:r>
            <w:hyperlink r:id="rId18">
              <w:r>
                <w:rPr>
                  <w:rFonts w:ascii="Liberation Sans" w:hAnsi="Liberation Sans"/>
                  <w:color w:val="2F6FB0"/>
                  <w:u w:val="single"/>
                </w:rPr>
                <w:t>otwórz sklep</w:t>
              </w:r>
            </w:hyperlink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701"/>
              <w:gridCol w:w="3061"/>
              <w:gridCol w:w="1701"/>
              <w:gridCol w:w="3061"/>
            </w:tblGrid>
            <w:tr>
              <w:tc>
                <w:tcPr>
                  <w:tcW w:type="dxa" w:w="2578"/>
                  <w:shd w:fill="F3F6F9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5E6C7A"/>
                      <w:sz w:val="14"/>
                    </w:rPr>
                    <w:t>RYNEK</w:t>
                  </w:r>
                </w:p>
              </w:tc>
              <w:tc>
                <w:tcPr>
                  <w:tcW w:type="dxa" w:w="2578"/>
                  <w:shd w:fill="FFFFFF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 w:val="0"/>
                      <w:color w:val="263445"/>
                      <w:sz w:val="16"/>
                    </w:rPr>
                    <w:t>Ukraina</w:t>
                  </w:r>
                </w:p>
              </w:tc>
              <w:tc>
                <w:tcPr>
                  <w:tcW w:type="dxa" w:w="2578"/>
                  <w:shd w:fill="F3F6F9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5E6C7A"/>
                      <w:sz w:val="14"/>
                    </w:rPr>
                    <w:t>PLATFORMA</w:t>
                  </w:r>
                </w:p>
              </w:tc>
              <w:tc>
                <w:tcPr>
                  <w:tcW w:type="dxa" w:w="2578"/>
                  <w:shd w:fill="FFFFFF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263445"/>
                      <w:sz w:val="16"/>
                    </w:rPr>
                    <w:t>Horoshop</w:t>
                  </w:r>
                </w:p>
              </w:tc>
            </w:tr>
            <w:tr>
              <w:tc>
                <w:tcPr>
                  <w:tcW w:type="dxa" w:w="2578"/>
                  <w:shd w:fill="F3F6F9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5E6C7A"/>
                      <w:sz w:val="14"/>
                    </w:rPr>
                    <w:t>MODEL</w:t>
                  </w:r>
                </w:p>
              </w:tc>
              <w:tc>
                <w:tcPr>
                  <w:tcW w:type="dxa" w:w="2578"/>
                  <w:shd w:fill="FFFFFF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263445"/>
                      <w:sz w:val="16"/>
                    </w:rPr>
                    <w:t>B2B + B2C</w:t>
                  </w:r>
                </w:p>
              </w:tc>
              <w:tc>
                <w:tcPr>
                  <w:tcW w:type="dxa" w:w="2578"/>
                  <w:shd w:fill="F3F6F9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5E6C7A"/>
                      <w:sz w:val="14"/>
                    </w:rPr>
                    <w:t>PEWNOŚĆ</w:t>
                  </w:r>
                </w:p>
              </w:tc>
              <w:tc>
                <w:tcPr>
                  <w:tcW w:type="dxa" w:w="2578"/>
                  <w:shd w:fill="FFFFFF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 w:val="0"/>
                      <w:color w:val="263445"/>
                      <w:sz w:val="16"/>
                    </w:rPr>
                    <w:t>Wysoka dla platformy; niska dla ERP</w:t>
                  </w:r>
                </w:p>
              </w:tc>
            </w:tr>
          </w:tbl>
          <w:p/>
          <w:p>
            <w:pPr>
              <w:spacing w:before="80" w:after="20"/>
            </w:pPr>
            <w:r>
              <w:rPr>
                <w:rFonts w:ascii="Liberation Sans" w:hAnsi="Liberation Sans" w:eastAsia="Liberation Sans"/>
                <w:b/>
                <w:color w:val="263445"/>
                <w:sz w:val="17"/>
              </w:rPr>
              <w:t xml:space="preserve">Doświadczenie i prezentacja: </w:t>
            </w:r>
            <w:r>
              <w:rPr>
                <w:rFonts w:ascii="Liberation Sans" w:hAnsi="Liberation Sans" w:eastAsia="Liberation Sans"/>
                <w:color w:val="263445"/>
                <w:sz w:val="17"/>
              </w:rPr>
              <w:t>Utylitarny katalog z naciskiem na filtry, warianty, akcesoria i szybkie porównanie produktów.</w:t>
            </w:r>
          </w:p>
          <w:p>
            <w:pPr>
              <w:spacing w:after="20"/>
            </w:pPr>
            <w:r>
              <w:rPr>
                <w:rFonts w:ascii="Liberation Sans" w:hAnsi="Liberation Sans" w:eastAsia="Liberation Sans"/>
                <w:b/>
                <w:color w:val="263445"/>
                <w:sz w:val="17"/>
              </w:rPr>
              <w:t xml:space="preserve">Ceny / dostęp B2B: </w:t>
            </w:r>
            <w:r>
              <w:rPr>
                <w:rFonts w:ascii="Liberation Sans" w:hAnsi="Liberation Sans" w:eastAsia="Liberation Sans"/>
                <w:color w:val="263445"/>
                <w:sz w:val="17"/>
              </w:rPr>
              <w:t>Ceny publiczne oraz rabaty ilościowe.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263445"/>
                <w:sz w:val="17"/>
              </w:rPr>
              <w:t xml:space="preserve">ERP / magazyn: </w:t>
            </w:r>
            <w:r>
              <w:rPr>
                <w:rFonts w:ascii="Liberation Sans" w:hAnsi="Liberation Sans" w:eastAsia="Liberation Sans"/>
                <w:color w:val="263445"/>
                <w:sz w:val="17"/>
              </w:rPr>
              <w:t>1C/BAS jest logiczną hipotezą rynkową, ale niepotwierdzoną.</w:t>
            </w:r>
          </w:p>
          <w:p>
            <w:pPr>
              <w:spacing w:before="60" w:after="0"/>
            </w:pPr>
            <w:r>
              <w:rPr>
                <w:rFonts w:ascii="Liberation Sans" w:hAnsi="Liberation Sans" w:eastAsia="Liberation Sans"/>
                <w:b/>
                <w:color w:val="0F766E"/>
                <w:sz w:val="17"/>
              </w:rPr>
              <w:t xml:space="preserve">Wniosek: </w:t>
            </w:r>
            <w:r>
              <w:rPr>
                <w:rFonts w:ascii="Liberation Sans" w:hAnsi="Liberation Sans" w:eastAsia="Liberation Sans"/>
                <w:color w:val="263445"/>
                <w:sz w:val="17"/>
              </w:rPr>
              <w:t>Warto wykorzystać prostotę rabatów wielosztuk i widoczną informację o wariantach.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160" w:after="100"/>
        <w:keepNext w:val="1"/>
      </w:pPr>
      <w:r>
        <w:rPr>
          <w:rFonts w:ascii="Liberation Sans" w:hAnsi="Liberation Sans" w:eastAsia="Liberation Sans"/>
          <w:b/>
          <w:color w:val="2F6FB0"/>
          <w:sz w:val="32"/>
        </w:rPr>
        <w:t xml:space="preserve">03  </w:t>
      </w:r>
      <w:r>
        <w:rPr>
          <w:rFonts w:ascii="Liberation Sans" w:hAnsi="Liberation Sans" w:eastAsia="Liberation Sans"/>
          <w:b/>
          <w:color w:val="16324F"/>
          <w:sz w:val="32"/>
        </w:rPr>
        <w:t>Profile sklepów - ciąg dalszy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10312"/>
            <w:shd w:fill="FFFFFF"/>
            <w:tcBorders>
              <w:top w:sz="8" w:val="single" w:color="2F6FB0"/>
              <w:left w:sz="4" w:val="single" w:color="D7E0E8"/>
              <w:bottom w:sz="4" w:val="single" w:color="D7E0E8"/>
              <w:right w:sz="4" w:val="single" w:color="D7E0E8"/>
            </w:tcBorders>
            <w:tcMar>
              <w:top w:w="11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16324F"/>
                <w:sz w:val="22"/>
              </w:rPr>
              <w:t>05  topgilza.com.ua</w:t>
            </w:r>
            <w:r>
              <w:t xml:space="preserve">   </w:t>
            </w:r>
            <w:hyperlink r:id="rId19">
              <w:r>
                <w:rPr>
                  <w:rFonts w:ascii="Liberation Sans" w:hAnsi="Liberation Sans"/>
                  <w:color w:val="2F6FB0"/>
                  <w:u w:val="single"/>
                </w:rPr>
                <w:t>otwórz sklep</w:t>
              </w:r>
            </w:hyperlink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701"/>
              <w:gridCol w:w="3061"/>
              <w:gridCol w:w="1701"/>
              <w:gridCol w:w="3061"/>
            </w:tblGrid>
            <w:tr>
              <w:tc>
                <w:tcPr>
                  <w:tcW w:type="dxa" w:w="2578"/>
                  <w:shd w:fill="F3F6F9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5E6C7A"/>
                      <w:sz w:val="14"/>
                    </w:rPr>
                    <w:t>RYNEK</w:t>
                  </w:r>
                </w:p>
              </w:tc>
              <w:tc>
                <w:tcPr>
                  <w:tcW w:type="dxa" w:w="2578"/>
                  <w:shd w:fill="FFFFFF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 w:val="0"/>
                      <w:color w:val="263445"/>
                      <w:sz w:val="16"/>
                    </w:rPr>
                    <w:t>Ukraina</w:t>
                  </w:r>
                </w:p>
              </w:tc>
              <w:tc>
                <w:tcPr>
                  <w:tcW w:type="dxa" w:w="2578"/>
                  <w:shd w:fill="F3F6F9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5E6C7A"/>
                      <w:sz w:val="14"/>
                    </w:rPr>
                    <w:t>PLATFORMA</w:t>
                  </w:r>
                </w:p>
              </w:tc>
              <w:tc>
                <w:tcPr>
                  <w:tcW w:type="dxa" w:w="2578"/>
                  <w:shd w:fill="FFFFFF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263445"/>
                      <w:sz w:val="16"/>
                    </w:rPr>
                    <w:t>OpenCart</w:t>
                  </w:r>
                </w:p>
              </w:tc>
            </w:tr>
            <w:tr>
              <w:tc>
                <w:tcPr>
                  <w:tcW w:type="dxa" w:w="2578"/>
                  <w:shd w:fill="F3F6F9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5E6C7A"/>
                      <w:sz w:val="14"/>
                    </w:rPr>
                    <w:t>MODEL</w:t>
                  </w:r>
                </w:p>
              </w:tc>
              <w:tc>
                <w:tcPr>
                  <w:tcW w:type="dxa" w:w="2578"/>
                  <w:shd w:fill="FFFFFF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263445"/>
                      <w:sz w:val="16"/>
                    </w:rPr>
                    <w:t>B2C + obsługa hurtowa przez kontakt</w:t>
                  </w:r>
                </w:p>
              </w:tc>
              <w:tc>
                <w:tcPr>
                  <w:tcW w:type="dxa" w:w="2578"/>
                  <w:shd w:fill="F3F6F9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5E6C7A"/>
                      <w:sz w:val="14"/>
                    </w:rPr>
                    <w:t>PEWNOŚĆ</w:t>
                  </w:r>
                </w:p>
              </w:tc>
              <w:tc>
                <w:tcPr>
                  <w:tcW w:type="dxa" w:w="2578"/>
                  <w:shd w:fill="FFFFFF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 w:val="0"/>
                      <w:color w:val="263445"/>
                      <w:sz w:val="16"/>
                    </w:rPr>
                    <w:t>Wysoka dla platformy; niska dla ERP</w:t>
                  </w:r>
                </w:p>
              </w:tc>
            </w:tr>
          </w:tbl>
          <w:p/>
          <w:p>
            <w:pPr>
              <w:spacing w:before="80" w:after="20"/>
            </w:pPr>
            <w:r>
              <w:rPr>
                <w:rFonts w:ascii="Liberation Sans" w:hAnsi="Liberation Sans" w:eastAsia="Liberation Sans"/>
                <w:b/>
                <w:color w:val="263445"/>
                <w:sz w:val="17"/>
              </w:rPr>
              <w:t xml:space="preserve">Doświadczenie i prezentacja: </w:t>
            </w:r>
            <w:r>
              <w:rPr>
                <w:rFonts w:ascii="Liberation Sans" w:hAnsi="Liberation Sans" w:eastAsia="Liberation Sans"/>
                <w:color w:val="263445"/>
                <w:sz w:val="17"/>
              </w:rPr>
              <w:t>Standardowy, funkcjonalny sklep katalogowy, lecz z wyraźnie budżetową warstwą wizualną.</w:t>
            </w:r>
          </w:p>
          <w:p>
            <w:pPr>
              <w:spacing w:after="20"/>
            </w:pPr>
            <w:r>
              <w:rPr>
                <w:rFonts w:ascii="Liberation Sans" w:hAnsi="Liberation Sans" w:eastAsia="Liberation Sans"/>
                <w:b/>
                <w:color w:val="263445"/>
                <w:sz w:val="17"/>
              </w:rPr>
              <w:t xml:space="preserve">Ceny / dostęp B2B: </w:t>
            </w:r>
            <w:r>
              <w:rPr>
                <w:rFonts w:ascii="Liberation Sans" w:hAnsi="Liberation Sans" w:eastAsia="Liberation Sans"/>
                <w:color w:val="263445"/>
                <w:sz w:val="17"/>
              </w:rPr>
              <w:t>Ceny publiczne; brak dojrzałego, widocznego procesu kont firmowych.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263445"/>
                <w:sz w:val="17"/>
              </w:rPr>
              <w:t xml:space="preserve">ERP / magazyn: </w:t>
            </w:r>
            <w:r>
              <w:rPr>
                <w:rFonts w:ascii="Liberation Sans" w:hAnsi="Liberation Sans" w:eastAsia="Liberation Sans"/>
                <w:color w:val="263445"/>
                <w:sz w:val="17"/>
              </w:rPr>
              <w:t>Wymiana CSV, Prom.ua lub moduły 1C są możliwe, ale niepotwierdzone.</w:t>
            </w:r>
          </w:p>
          <w:p>
            <w:pPr>
              <w:spacing w:before="60" w:after="0"/>
            </w:pPr>
            <w:r>
              <w:rPr>
                <w:rFonts w:ascii="Liberation Sans" w:hAnsi="Liberation Sans" w:eastAsia="Liberation Sans"/>
                <w:b/>
                <w:color w:val="0F766E"/>
                <w:sz w:val="17"/>
              </w:rPr>
              <w:t xml:space="preserve">Wniosek: </w:t>
            </w:r>
            <w:r>
              <w:rPr>
                <w:rFonts w:ascii="Liberation Sans" w:hAnsi="Liberation Sans" w:eastAsia="Liberation Sans"/>
                <w:color w:val="263445"/>
                <w:sz w:val="17"/>
              </w:rPr>
              <w:t>Przykład, że niski koszt technologii nie zastępuje jakości marki i automatyzacji B2B.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10312"/>
            <w:shd w:fill="FFFFFF"/>
            <w:tcBorders>
              <w:top w:sz="8" w:val="single" w:color="2F6FB0"/>
              <w:left w:sz="4" w:val="single" w:color="D7E0E8"/>
              <w:bottom w:sz="4" w:val="single" w:color="D7E0E8"/>
              <w:right w:sz="4" w:val="single" w:color="D7E0E8"/>
            </w:tcBorders>
            <w:tcMar>
              <w:top w:w="11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16324F"/>
                <w:sz w:val="22"/>
              </w:rPr>
              <w:t>06  all24.at</w:t>
            </w:r>
            <w:r>
              <w:t xml:space="preserve">   </w:t>
            </w:r>
            <w:hyperlink r:id="rId20">
              <w:r>
                <w:rPr>
                  <w:rFonts w:ascii="Liberation Sans" w:hAnsi="Liberation Sans"/>
                  <w:color w:val="2F6FB0"/>
                  <w:u w:val="single"/>
                </w:rPr>
                <w:t>otwórz sklep</w:t>
              </w:r>
            </w:hyperlink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701"/>
              <w:gridCol w:w="3061"/>
              <w:gridCol w:w="1701"/>
              <w:gridCol w:w="3061"/>
            </w:tblGrid>
            <w:tr>
              <w:tc>
                <w:tcPr>
                  <w:tcW w:type="dxa" w:w="2578"/>
                  <w:shd w:fill="F3F6F9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5E6C7A"/>
                      <w:sz w:val="14"/>
                    </w:rPr>
                    <w:t>RYNEK</w:t>
                  </w:r>
                </w:p>
              </w:tc>
              <w:tc>
                <w:tcPr>
                  <w:tcW w:type="dxa" w:w="2578"/>
                  <w:shd w:fill="FFFFFF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 w:val="0"/>
                      <w:color w:val="263445"/>
                      <w:sz w:val="16"/>
                    </w:rPr>
                    <w:t>Austria / DACH</w:t>
                  </w:r>
                </w:p>
              </w:tc>
              <w:tc>
                <w:tcPr>
                  <w:tcW w:type="dxa" w:w="2578"/>
                  <w:shd w:fill="F3F6F9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5E6C7A"/>
                      <w:sz w:val="14"/>
                    </w:rPr>
                    <w:t>PLATFORMA</w:t>
                  </w:r>
                </w:p>
              </w:tc>
              <w:tc>
                <w:tcPr>
                  <w:tcW w:type="dxa" w:w="2578"/>
                  <w:shd w:fill="FFFFFF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263445"/>
                      <w:sz w:val="16"/>
                    </w:rPr>
                    <w:t>Magento</w:t>
                  </w:r>
                </w:p>
              </w:tc>
            </w:tr>
            <w:tr>
              <w:tc>
                <w:tcPr>
                  <w:tcW w:type="dxa" w:w="2578"/>
                  <w:shd w:fill="F3F6F9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5E6C7A"/>
                      <w:sz w:val="14"/>
                    </w:rPr>
                    <w:t>MODEL</w:t>
                  </w:r>
                </w:p>
              </w:tc>
              <w:tc>
                <w:tcPr>
                  <w:tcW w:type="dxa" w:w="2578"/>
                  <w:shd w:fill="FFFFFF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263445"/>
                      <w:sz w:val="16"/>
                    </w:rPr>
                    <w:t>B2C + dealerzy</w:t>
                  </w:r>
                </w:p>
              </w:tc>
              <w:tc>
                <w:tcPr>
                  <w:tcW w:type="dxa" w:w="2578"/>
                  <w:shd w:fill="F3F6F9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5E6C7A"/>
                      <w:sz w:val="14"/>
                    </w:rPr>
                    <w:t>PEWNOŚĆ</w:t>
                  </w:r>
                </w:p>
              </w:tc>
              <w:tc>
                <w:tcPr>
                  <w:tcW w:type="dxa" w:w="2578"/>
                  <w:shd w:fill="FFFFFF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 w:val="0"/>
                      <w:color w:val="263445"/>
                      <w:sz w:val="16"/>
                    </w:rPr>
                    <w:t>Wysoka dla platformy; niska dla ERP</w:t>
                  </w:r>
                </w:p>
              </w:tc>
            </w:tr>
          </w:tbl>
          <w:p/>
          <w:p>
            <w:pPr>
              <w:spacing w:before="80" w:after="20"/>
            </w:pPr>
            <w:r>
              <w:rPr>
                <w:rFonts w:ascii="Liberation Sans" w:hAnsi="Liberation Sans" w:eastAsia="Liberation Sans"/>
                <w:b/>
                <w:color w:val="263445"/>
                <w:sz w:val="17"/>
              </w:rPr>
              <w:t xml:space="preserve">Doświadczenie i prezentacja: </w:t>
            </w:r>
            <w:r>
              <w:rPr>
                <w:rFonts w:ascii="Liberation Sans" w:hAnsi="Liberation Sans" w:eastAsia="Liberation Sans"/>
                <w:color w:val="263445"/>
                <w:sz w:val="17"/>
              </w:rPr>
              <w:t>Duży sklep wielobranżowy; Powermatic funkcjonuje jako jedna z kategorii, a nie centrum doświadczenia.</w:t>
            </w:r>
          </w:p>
          <w:p>
            <w:pPr>
              <w:spacing w:after="20"/>
            </w:pPr>
            <w:r>
              <w:rPr>
                <w:rFonts w:ascii="Liberation Sans" w:hAnsi="Liberation Sans" w:eastAsia="Liberation Sans"/>
                <w:b/>
                <w:color w:val="263445"/>
                <w:sz w:val="17"/>
              </w:rPr>
              <w:t xml:space="preserve">Ceny / dostęp B2B: </w:t>
            </w:r>
            <w:r>
              <w:rPr>
                <w:rFonts w:ascii="Liberation Sans" w:hAnsi="Liberation Sans" w:eastAsia="Liberation Sans"/>
                <w:color w:val="263445"/>
                <w:sz w:val="17"/>
              </w:rPr>
              <w:t>Ceny publiczne; osobny kontakt lub sekcja dealerska.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263445"/>
                <w:sz w:val="17"/>
              </w:rPr>
              <w:t xml:space="preserve">ERP / magazyn: </w:t>
            </w:r>
            <w:r>
              <w:rPr>
                <w:rFonts w:ascii="Liberation Sans" w:hAnsi="Liberation Sans" w:eastAsia="Liberation Sans"/>
                <w:color w:val="263445"/>
                <w:sz w:val="17"/>
              </w:rPr>
              <w:t>BMD, SAP Business One lub Navision to jedynie hipotezy.</w:t>
            </w:r>
          </w:p>
          <w:p>
            <w:pPr>
              <w:spacing w:before="60" w:after="0"/>
            </w:pPr>
            <w:r>
              <w:rPr>
                <w:rFonts w:ascii="Liberation Sans" w:hAnsi="Liberation Sans" w:eastAsia="Liberation Sans"/>
                <w:b/>
                <w:color w:val="0F766E"/>
                <w:sz w:val="17"/>
              </w:rPr>
              <w:t xml:space="preserve">Wniosek: </w:t>
            </w:r>
            <w:r>
              <w:rPr>
                <w:rFonts w:ascii="Liberation Sans" w:hAnsi="Liberation Sans" w:eastAsia="Liberation Sans"/>
                <w:color w:val="263445"/>
                <w:sz w:val="17"/>
              </w:rPr>
              <w:t>Dobry benchmark skalowalności katalogu, słabszy dla budowania specjalistycznej marki.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10312"/>
            <w:shd w:fill="FFFFFF"/>
            <w:tcBorders>
              <w:top w:sz="8" w:val="single" w:color="2F6FB0"/>
              <w:left w:sz="4" w:val="single" w:color="D7E0E8"/>
              <w:bottom w:sz="4" w:val="single" w:color="D7E0E8"/>
              <w:right w:sz="4" w:val="single" w:color="D7E0E8"/>
            </w:tcBorders>
            <w:tcMar>
              <w:top w:w="11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16324F"/>
                <w:sz w:val="22"/>
              </w:rPr>
              <w:t>07  skleptytoniowy.pl</w:t>
            </w:r>
            <w:r>
              <w:t xml:space="preserve">   </w:t>
            </w:r>
            <w:hyperlink r:id="rId21">
              <w:r>
                <w:rPr>
                  <w:rFonts w:ascii="Liberation Sans" w:hAnsi="Liberation Sans"/>
                  <w:color w:val="2F6FB0"/>
                  <w:u w:val="single"/>
                </w:rPr>
                <w:t>otwórz sklep</w:t>
              </w:r>
            </w:hyperlink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701"/>
              <w:gridCol w:w="3061"/>
              <w:gridCol w:w="1701"/>
              <w:gridCol w:w="3061"/>
            </w:tblGrid>
            <w:tr>
              <w:tc>
                <w:tcPr>
                  <w:tcW w:type="dxa" w:w="2578"/>
                  <w:shd w:fill="F3F6F9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5E6C7A"/>
                      <w:sz w:val="14"/>
                    </w:rPr>
                    <w:t>RYNEK</w:t>
                  </w:r>
                </w:p>
              </w:tc>
              <w:tc>
                <w:tcPr>
                  <w:tcW w:type="dxa" w:w="2578"/>
                  <w:shd w:fill="FFFFFF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 w:val="0"/>
                      <w:color w:val="263445"/>
                      <w:sz w:val="16"/>
                    </w:rPr>
                    <w:t>Polska</w:t>
                  </w:r>
                </w:p>
              </w:tc>
              <w:tc>
                <w:tcPr>
                  <w:tcW w:type="dxa" w:w="2578"/>
                  <w:shd w:fill="F3F6F9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5E6C7A"/>
                      <w:sz w:val="14"/>
                    </w:rPr>
                    <w:t>PLATFORMA</w:t>
                  </w:r>
                </w:p>
              </w:tc>
              <w:tc>
                <w:tcPr>
                  <w:tcW w:type="dxa" w:w="2578"/>
                  <w:shd w:fill="FFFFFF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263445"/>
                      <w:sz w:val="16"/>
                    </w:rPr>
                    <w:t>PrestaShop</w:t>
                  </w:r>
                </w:p>
              </w:tc>
            </w:tr>
            <w:tr>
              <w:tc>
                <w:tcPr>
                  <w:tcW w:type="dxa" w:w="2578"/>
                  <w:shd w:fill="F3F6F9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5E6C7A"/>
                      <w:sz w:val="14"/>
                    </w:rPr>
                    <w:t>MODEL</w:t>
                  </w:r>
                </w:p>
              </w:tc>
              <w:tc>
                <w:tcPr>
                  <w:tcW w:type="dxa" w:w="2578"/>
                  <w:shd w:fill="FFFFFF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263445"/>
                      <w:sz w:val="16"/>
                    </w:rPr>
                    <w:t>B2B + B2C</w:t>
                  </w:r>
                </w:p>
              </w:tc>
              <w:tc>
                <w:tcPr>
                  <w:tcW w:type="dxa" w:w="2578"/>
                  <w:shd w:fill="F3F6F9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5E6C7A"/>
                      <w:sz w:val="14"/>
                    </w:rPr>
                    <w:t>PEWNOŚĆ</w:t>
                  </w:r>
                </w:p>
              </w:tc>
              <w:tc>
                <w:tcPr>
                  <w:tcW w:type="dxa" w:w="2578"/>
                  <w:shd w:fill="FFFFFF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 w:val="0"/>
                      <w:color w:val="263445"/>
                      <w:sz w:val="16"/>
                    </w:rPr>
                    <w:t>Wysoka dla platformy i B2B; niska dla ERP</w:t>
                  </w:r>
                </w:p>
              </w:tc>
            </w:tr>
          </w:tbl>
          <w:p/>
          <w:p>
            <w:pPr>
              <w:spacing w:before="80" w:after="20"/>
            </w:pPr>
            <w:r>
              <w:rPr>
                <w:rFonts w:ascii="Liberation Sans" w:hAnsi="Liberation Sans" w:eastAsia="Liberation Sans"/>
                <w:b/>
                <w:color w:val="263445"/>
                <w:sz w:val="17"/>
              </w:rPr>
              <w:t xml:space="preserve">Doświadczenie i prezentacja: </w:t>
            </w:r>
            <w:r>
              <w:rPr>
                <w:rFonts w:ascii="Liberation Sans" w:hAnsi="Liberation Sans" w:eastAsia="Liberation Sans"/>
                <w:color w:val="263445"/>
                <w:sz w:val="17"/>
              </w:rPr>
              <w:t>Czytelny sklep asortymentowy z klasyczną strukturą kategorii i komunikacją hurtową.</w:t>
            </w:r>
          </w:p>
          <w:p>
            <w:pPr>
              <w:spacing w:after="20"/>
            </w:pPr>
            <w:r>
              <w:rPr>
                <w:rFonts w:ascii="Liberation Sans" w:hAnsi="Liberation Sans" w:eastAsia="Liberation Sans"/>
                <w:b/>
                <w:color w:val="263445"/>
                <w:sz w:val="17"/>
              </w:rPr>
              <w:t xml:space="preserve">Ceny / dostęp B2B: </w:t>
            </w:r>
            <w:r>
              <w:rPr>
                <w:rFonts w:ascii="Liberation Sans" w:hAnsi="Liberation Sans" w:eastAsia="Liberation Sans"/>
                <w:color w:val="263445"/>
                <w:sz w:val="17"/>
              </w:rPr>
              <w:t>Detal publiczny; niższe ceny po akceptacji konta hurtowego.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263445"/>
                <w:sz w:val="17"/>
              </w:rPr>
              <w:t xml:space="preserve">ERP / magazyn: </w:t>
            </w:r>
            <w:r>
              <w:rPr>
                <w:rFonts w:ascii="Liberation Sans" w:hAnsi="Liberation Sans" w:eastAsia="Liberation Sans"/>
                <w:color w:val="263445"/>
                <w:sz w:val="17"/>
              </w:rPr>
              <w:t>Integracja z Subiektem lub Comarchem jest prawdopodobna, ale niewidoczna.</w:t>
            </w:r>
          </w:p>
          <w:p>
            <w:pPr>
              <w:spacing w:before="60" w:after="0"/>
            </w:pPr>
            <w:r>
              <w:rPr>
                <w:rFonts w:ascii="Liberation Sans" w:hAnsi="Liberation Sans" w:eastAsia="Liberation Sans"/>
                <w:b/>
                <w:color w:val="0F766E"/>
                <w:sz w:val="17"/>
              </w:rPr>
              <w:t xml:space="preserve">Wniosek: </w:t>
            </w:r>
            <w:r>
              <w:rPr>
                <w:rFonts w:ascii="Liberation Sans" w:hAnsi="Liberation Sans" w:eastAsia="Liberation Sans"/>
                <w:color w:val="263445"/>
                <w:sz w:val="17"/>
              </w:rPr>
              <w:t>Praktyczny wzorzec rejestracji firmy i oddzielenia cennika hurtowego od detalicznego.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10312"/>
            <w:shd w:fill="FFFFFF"/>
            <w:tcBorders>
              <w:top w:sz="8" w:val="single" w:color="2F6FB0"/>
              <w:left w:sz="4" w:val="single" w:color="D7E0E8"/>
              <w:bottom w:sz="4" w:val="single" w:color="D7E0E8"/>
              <w:right w:sz="4" w:val="single" w:color="D7E0E8"/>
            </w:tcBorders>
            <w:tcMar>
              <w:top w:w="11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16324F"/>
                <w:sz w:val="22"/>
              </w:rPr>
              <w:t>08  powermatic-stopfmaschine.de</w:t>
            </w:r>
            <w:r>
              <w:t xml:space="preserve">   </w:t>
            </w:r>
            <w:hyperlink r:id="rId22">
              <w:r>
                <w:rPr>
                  <w:rFonts w:ascii="Liberation Sans" w:hAnsi="Liberation Sans"/>
                  <w:color w:val="2F6FB0"/>
                  <w:u w:val="single"/>
                </w:rPr>
                <w:t>otwórz sklep</w:t>
              </w:r>
            </w:hyperlink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701"/>
              <w:gridCol w:w="3061"/>
              <w:gridCol w:w="1701"/>
              <w:gridCol w:w="3061"/>
            </w:tblGrid>
            <w:tr>
              <w:tc>
                <w:tcPr>
                  <w:tcW w:type="dxa" w:w="2578"/>
                  <w:shd w:fill="F3F6F9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5E6C7A"/>
                      <w:sz w:val="14"/>
                    </w:rPr>
                    <w:t>RYNEK</w:t>
                  </w:r>
                </w:p>
              </w:tc>
              <w:tc>
                <w:tcPr>
                  <w:tcW w:type="dxa" w:w="2578"/>
                  <w:shd w:fill="FFFFFF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 w:val="0"/>
                      <w:color w:val="263445"/>
                      <w:sz w:val="16"/>
                    </w:rPr>
                    <w:t>Niemcy</w:t>
                  </w:r>
                </w:p>
              </w:tc>
              <w:tc>
                <w:tcPr>
                  <w:tcW w:type="dxa" w:w="2578"/>
                  <w:shd w:fill="F3F6F9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5E6C7A"/>
                      <w:sz w:val="14"/>
                    </w:rPr>
                    <w:t>PLATFORMA</w:t>
                  </w:r>
                </w:p>
              </w:tc>
              <w:tc>
                <w:tcPr>
                  <w:tcW w:type="dxa" w:w="2578"/>
                  <w:shd w:fill="FFFFFF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263445"/>
                      <w:sz w:val="16"/>
                    </w:rPr>
                    <w:t>WordPress + WooCommerce</w:t>
                  </w:r>
                </w:p>
              </w:tc>
            </w:tr>
            <w:tr>
              <w:tc>
                <w:tcPr>
                  <w:tcW w:type="dxa" w:w="2578"/>
                  <w:shd w:fill="F3F6F9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5E6C7A"/>
                      <w:sz w:val="14"/>
                    </w:rPr>
                    <w:t>MODEL</w:t>
                  </w:r>
                </w:p>
              </w:tc>
              <w:tc>
                <w:tcPr>
                  <w:tcW w:type="dxa" w:w="2578"/>
                  <w:shd w:fill="FFFFFF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263445"/>
                      <w:sz w:val="16"/>
                    </w:rPr>
                    <w:t>B2C</w:t>
                  </w:r>
                </w:p>
              </w:tc>
              <w:tc>
                <w:tcPr>
                  <w:tcW w:type="dxa" w:w="2578"/>
                  <w:shd w:fill="F3F6F9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/>
                      <w:color w:val="5E6C7A"/>
                      <w:sz w:val="14"/>
                    </w:rPr>
                    <w:t>PEWNOŚĆ</w:t>
                  </w:r>
                </w:p>
              </w:tc>
              <w:tc>
                <w:tcPr>
                  <w:tcW w:type="dxa" w:w="2578"/>
                  <w:shd w:fill="FFFFFF"/>
                  <w:tcBorders>
                    <w:top w:sz="3" w:val="single" w:color="D7E0E8"/>
                    <w:left w:sz="3" w:val="single" w:color="D7E0E8"/>
                    <w:bottom w:sz="3" w:val="single" w:color="D7E0E8"/>
                    <w:right w:sz="3" w:val="single" w:color="D7E0E8"/>
                  </w:tcBorders>
                  <w:tcMar>
                    <w:top w:w="55" w:type="dxa"/>
                    <w:start w:w="65" w:type="dxa"/>
                    <w:bottom w:w="55" w:type="dxa"/>
                    <w:end w:w="65" w:type="dxa"/>
                  </w:tcMar>
                  <w:vAlign w:val="center"/>
                </w:tcPr>
                <w:p>
                  <w:r>
                    <w:rPr>
                      <w:rFonts w:ascii="Liberation Sans" w:hAnsi="Liberation Sans" w:eastAsia="Liberation Sans"/>
                      <w:b w:val="0"/>
                      <w:color w:val="263445"/>
                      <w:sz w:val="16"/>
                    </w:rPr>
                    <w:t>Wysoka dla platformy; niska dla ERP</w:t>
                  </w:r>
                </w:p>
              </w:tc>
            </w:tr>
          </w:tbl>
          <w:p/>
          <w:p>
            <w:pPr>
              <w:spacing w:before="80" w:after="20"/>
            </w:pPr>
            <w:r>
              <w:rPr>
                <w:rFonts w:ascii="Liberation Sans" w:hAnsi="Liberation Sans" w:eastAsia="Liberation Sans"/>
                <w:b/>
                <w:color w:val="263445"/>
                <w:sz w:val="17"/>
              </w:rPr>
              <w:t xml:space="preserve">Doświadczenie i prezentacja: </w:t>
            </w:r>
            <w:r>
              <w:rPr>
                <w:rFonts w:ascii="Liberation Sans" w:hAnsi="Liberation Sans" w:eastAsia="Liberation Sans"/>
                <w:color w:val="263445"/>
                <w:sz w:val="17"/>
              </w:rPr>
              <w:t>Sklep jednej marki z treściami edukacyjnymi, sekcją napraw, serwisu i części. Buduje wrażenie specjalistycznego punktu sprzedaży.</w:t>
            </w:r>
          </w:p>
          <w:p>
            <w:pPr>
              <w:spacing w:after="20"/>
            </w:pPr>
            <w:r>
              <w:rPr>
                <w:rFonts w:ascii="Liberation Sans" w:hAnsi="Liberation Sans" w:eastAsia="Liberation Sans"/>
                <w:b/>
                <w:color w:val="263445"/>
                <w:sz w:val="17"/>
              </w:rPr>
              <w:t xml:space="preserve">Ceny / dostęp B2B: </w:t>
            </w:r>
            <w:r>
              <w:rPr>
                <w:rFonts w:ascii="Liberation Sans" w:hAnsi="Liberation Sans" w:eastAsia="Liberation Sans"/>
                <w:color w:val="263445"/>
                <w:sz w:val="17"/>
              </w:rPr>
              <w:t>Ceny publiczne; darmowa dostawa po UE jako główny komunikat sprzedażowy.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263445"/>
                <w:sz w:val="17"/>
              </w:rPr>
              <w:t xml:space="preserve">ERP / magazyn: </w:t>
            </w:r>
            <w:r>
              <w:rPr>
                <w:rFonts w:ascii="Liberation Sans" w:hAnsi="Liberation Sans" w:eastAsia="Liberation Sans"/>
                <w:color w:val="263445"/>
                <w:sz w:val="17"/>
              </w:rPr>
              <w:t>JTL-Wawi, Pickware lub Billbee są możliwe, ale brak publicznego potwierdzenia.</w:t>
            </w:r>
          </w:p>
          <w:p>
            <w:pPr>
              <w:spacing w:before="60" w:after="0"/>
            </w:pPr>
            <w:r>
              <w:rPr>
                <w:rFonts w:ascii="Liberation Sans" w:hAnsi="Liberation Sans" w:eastAsia="Liberation Sans"/>
                <w:b/>
                <w:color w:val="0F766E"/>
                <w:sz w:val="17"/>
              </w:rPr>
              <w:t xml:space="preserve">Wniosek: </w:t>
            </w:r>
            <w:r>
              <w:rPr>
                <w:rFonts w:ascii="Liberation Sans" w:hAnsi="Liberation Sans" w:eastAsia="Liberation Sans"/>
                <w:color w:val="263445"/>
                <w:sz w:val="17"/>
              </w:rPr>
              <w:t>Najlepszy benchmark zaufania, wiedzy produktowej i usług posprzedażowych. Status autoryzacji należy weryfikować osobno.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160" w:after="100"/>
        <w:keepNext w:val="1"/>
      </w:pPr>
      <w:r>
        <w:rPr>
          <w:rFonts w:ascii="Liberation Sans" w:hAnsi="Liberation Sans" w:eastAsia="Liberation Sans"/>
          <w:b/>
          <w:color w:val="2F6FB0"/>
          <w:sz w:val="32"/>
        </w:rPr>
        <w:t xml:space="preserve">04  </w:t>
      </w:r>
      <w:r>
        <w:rPr>
          <w:rFonts w:ascii="Liberation Sans" w:hAnsi="Liberation Sans" w:eastAsia="Liberation Sans"/>
          <w:b/>
          <w:color w:val="16324F"/>
          <w:sz w:val="32"/>
        </w:rPr>
        <w:t>Wzorce rynkowe i luki konkurencji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3515"/>
        <w:gridCol w:w="3515"/>
      </w:tblGrid>
      <w:tr>
        <w:tc>
          <w:tcPr>
            <w:tcW w:type="dxa" w:w="3437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Obszar</w:t>
            </w:r>
          </w:p>
        </w:tc>
        <w:tc>
          <w:tcPr>
            <w:tcW w:type="dxa" w:w="3437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Co działa na rynku</w:t>
            </w:r>
          </w:p>
        </w:tc>
        <w:tc>
          <w:tcPr>
            <w:tcW w:type="dxa" w:w="3437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Szansa dla BILLS</w:t>
            </w:r>
          </w:p>
        </w:tc>
      </w:tr>
      <w:tr>
        <w:tc>
          <w:tcPr>
            <w:tcW w:type="dxa" w:w="3437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6324F"/>
                <w:sz w:val="16"/>
              </w:rPr>
              <w:t>B2B i ceny</w:t>
            </w:r>
          </w:p>
        </w:tc>
        <w:tc>
          <w:tcPr>
            <w:tcW w:type="dxa" w:w="3437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6"/>
              </w:rPr>
              <w:t>Cenniki po logowaniu, grupy klienta, rabaty ilościowe, ręczna lub automatyczna akceptacja firmy.</w:t>
            </w:r>
          </w:p>
        </w:tc>
        <w:tc>
          <w:tcPr>
            <w:tcW w:type="dxa" w:w="3437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6"/>
              </w:rPr>
              <w:t>Prostsza rejestracja, szybka decyzja o statusie konta, jasne zasady progu i terminów płatności.</w:t>
            </w:r>
          </w:p>
        </w:tc>
      </w:tr>
      <w:tr>
        <w:tc>
          <w:tcPr>
            <w:tcW w:type="dxa" w:w="3437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6324F"/>
                <w:sz w:val="16"/>
              </w:rPr>
              <w:t>Cross-border</w:t>
            </w:r>
          </w:p>
        </w:tc>
        <w:tc>
          <w:tcPr>
            <w:tcW w:type="dxa" w:w="3437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6"/>
              </w:rPr>
              <w:t>Języki, waluty, VAT, lokalne metody płatności oraz czytelne koszty dostawy.</w:t>
            </w:r>
          </w:p>
        </w:tc>
        <w:tc>
          <w:tcPr>
            <w:tcW w:type="dxa" w:w="3437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6"/>
              </w:rPr>
              <w:t>Jedna platforma z centralnym katalogiem PL/DE/EN zamiast kilku rozproszonych kopii.</w:t>
            </w:r>
          </w:p>
        </w:tc>
      </w:tr>
      <w:tr>
        <w:tc>
          <w:tcPr>
            <w:tcW w:type="dxa" w:w="3437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6324F"/>
                <w:sz w:val="16"/>
              </w:rPr>
              <w:t>Zaufanie i serwis</w:t>
            </w:r>
          </w:p>
        </w:tc>
        <w:tc>
          <w:tcPr>
            <w:tcW w:type="dxa" w:w="3437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6"/>
              </w:rPr>
              <w:t>Instrukcje, części, naprawy, gwarancja i treści eksperckie.</w:t>
            </w:r>
          </w:p>
        </w:tc>
        <w:tc>
          <w:tcPr>
            <w:tcW w:type="dxa" w:w="3437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6"/>
              </w:rPr>
              <w:t>Wyeksponować autoryzację, własny serwis i identyfikowalny łańcuch dystrybucji.</w:t>
            </w:r>
          </w:p>
        </w:tc>
      </w:tr>
    </w:tbl>
    <w:p>
      <w:pPr>
        <w:pStyle w:val="Heading2"/>
        <w:spacing w:before="100" w:after="100"/>
        <w:keepNext w:val="1"/>
      </w:pPr>
      <w:r>
        <w:rPr>
          <w:rFonts w:ascii="Liberation Sans" w:hAnsi="Liberation Sans" w:eastAsia="Liberation Sans"/>
          <w:b/>
          <w:color w:val="16324F"/>
          <w:sz w:val="23"/>
        </w:rPr>
        <w:t>Co kopiować, a czego nie kopiować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5156"/>
            <w:shd w:fill="E8F4F2"/>
            <w:tcBorders>
              <w:top w:sz="6" w:val="single" w:color="0F766E"/>
              <w:left w:sz="4" w:val="single" w:color="D7E0E8"/>
              <w:bottom w:sz="4" w:val="single" w:color="D7E0E8"/>
              <w:right w:sz="4" w:val="single" w:color="D7E0E8"/>
            </w:tcBorders>
            <w:tcMar>
              <w:top w:w="11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0F766E"/>
                <w:sz w:val="18"/>
              </w:rPr>
              <w:t>WARTO WYKORZYSTAĆ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 w:eastAsia="Liberation Sans"/>
                <w:color w:val="263445"/>
                <w:sz w:val="16"/>
              </w:rPr>
              <w:t>Widoczne progi dostawy i koszt końcowy bez zaskoczeń.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 w:eastAsia="Liberation Sans"/>
                <w:color w:val="263445"/>
                <w:sz w:val="16"/>
              </w:rPr>
              <w:t>Rejestrację B2B z weryfikacją firmy oraz grupami cenowymi.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 w:eastAsia="Liberation Sans"/>
                <w:color w:val="263445"/>
                <w:sz w:val="16"/>
              </w:rPr>
              <w:t>Produkt jako system: urządzenie + części + instrukcja + serwis.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 w:eastAsia="Liberation Sans"/>
                <w:color w:val="263445"/>
                <w:sz w:val="16"/>
              </w:rPr>
              <w:t>Centralne tłumaczenia, waluty i dane produktowe dla kilku rynków.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 w:eastAsia="Liberation Sans"/>
                <w:color w:val="263445"/>
                <w:sz w:val="16"/>
              </w:rPr>
              <w:t>Filtry i warianty pomagające dobrać właściwy model lub akcesorium.</w:t>
            </w:r>
          </w:p>
        </w:tc>
        <w:tc>
          <w:tcPr>
            <w:tcW w:type="dxa" w:w="5156"/>
            <w:shd w:fill="FDEDEC"/>
            <w:tcBorders>
              <w:top w:sz="6" w:val="single" w:color="B42318"/>
              <w:left w:sz="4" w:val="single" w:color="D7E0E8"/>
              <w:bottom w:sz="4" w:val="single" w:color="D7E0E8"/>
              <w:right w:sz="4" w:val="single" w:color="D7E0E8"/>
            </w:tcBorders>
            <w:tcMar>
              <w:top w:w="11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B42318"/>
                <w:sz w:val="18"/>
              </w:rPr>
              <w:t>NIE WARTO POWIELAĆ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 w:eastAsia="Liberation Sans"/>
                <w:color w:val="263445"/>
                <w:sz w:val="16"/>
              </w:rPr>
              <w:t>Kilku niemal identycznych sklepów dla tych samych produktów.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 w:eastAsia="Liberation Sans"/>
                <w:color w:val="263445"/>
                <w:sz w:val="16"/>
              </w:rPr>
              <w:t>Publicznych cen hurtowych i ręcznego ustalania rabatów w e-mailach.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 w:eastAsia="Liberation Sans"/>
                <w:color w:val="263445"/>
                <w:sz w:val="16"/>
              </w:rPr>
              <w:t>Niepotwierdzonych komunikatów sugerujących oficjalny status.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 w:eastAsia="Liberation Sans"/>
                <w:color w:val="263445"/>
                <w:sz w:val="16"/>
              </w:rPr>
              <w:t>Rozbudowy WooCommerce przez dziesiątki nakładających się wtyczek.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 w:eastAsia="Liberation Sans"/>
                <w:color w:val="263445"/>
                <w:sz w:val="16"/>
              </w:rPr>
              <w:t>Katalogu bez treści serwisowych i jednoznacznej polityki gwarancyjnej.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524"/>
      </w:tblGrid>
      <w:tr>
        <w:tc>
          <w:tcPr>
            <w:tcW w:type="dxa" w:w="5156"/>
            <w:shd w:fill="2F6FB0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/>
        </w:tc>
        <w:tc>
          <w:tcPr>
            <w:tcW w:type="dxa" w:w="5156"/>
            <w:shd w:fill="EAF2F8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6324F"/>
                <w:sz w:val="20"/>
              </w:rPr>
              <w:t>Wniosek projektowy</w:t>
            </w:r>
          </w:p>
          <w:p>
            <w:pPr>
              <w:spacing w:before="40" w:after="0"/>
            </w:pPr>
            <w:r>
              <w:rPr>
                <w:rFonts w:ascii="Liberation Sans" w:hAnsi="Liberation Sans" w:eastAsia="Liberation Sans"/>
                <w:color w:val="263445"/>
                <w:sz w:val="18"/>
              </w:rPr>
              <w:t>Warstwa wizualna powinna komunikować precyzję urządzeń, autoryzowaną dystrybucję i kompetencje serwisowe. Nie powinna przypominać katalogu akcesoriów tytoniowych ani generycznego sklepu WooCommerce.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160" w:after="100"/>
        <w:keepNext w:val="1"/>
      </w:pPr>
      <w:r>
        <w:rPr>
          <w:rFonts w:ascii="Liberation Sans" w:hAnsi="Liberation Sans" w:eastAsia="Liberation Sans"/>
          <w:b/>
          <w:color w:val="2F6FB0"/>
          <w:sz w:val="32"/>
        </w:rPr>
        <w:t xml:space="preserve">05  </w:t>
      </w:r>
      <w:r>
        <w:rPr>
          <w:rFonts w:ascii="Liberation Sans" w:hAnsi="Liberation Sans" w:eastAsia="Liberation Sans"/>
          <w:b/>
          <w:color w:val="16324F"/>
          <w:sz w:val="32"/>
        </w:rPr>
        <w:t>Rekomendowana architektura</w:t>
      </w:r>
    </w:p>
    <w:p>
      <w:pPr>
        <w:spacing w:after="100"/>
      </w:pPr>
      <w:r>
        <w:rPr>
          <w:rFonts w:ascii="Liberation Sans" w:hAnsi="Liberation Sans" w:eastAsia="Liberation Sans"/>
          <w:b/>
          <w:color w:val="0F766E"/>
          <w:sz w:val="20"/>
        </w:rPr>
        <w:t xml:space="preserve">Rekomendacja podstawowa: </w:t>
      </w:r>
      <w:r>
        <w:rPr>
          <w:rFonts w:ascii="Liberation Sans" w:hAnsi="Liberation Sans" w:eastAsia="Liberation Sans"/>
          <w:color w:val="263445"/>
          <w:sz w:val="20"/>
        </w:rPr>
        <w:t>WordPress + WooCommerce jako kontrolowany rdzeń pierwszego etapu - z płatnym modułem B2B, integracją z systemem magazynowo-księgowym i ograniczoną liczbą dobrze dobranych rozszerzeń.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701"/>
        <w:gridCol w:w="1701"/>
        <w:gridCol w:w="1757"/>
        <w:gridCol w:w="2268"/>
      </w:tblGrid>
      <w:tr>
        <w:tc>
          <w:tcPr>
            <w:tcW w:type="dxa" w:w="2062"/>
            <w:shd w:fill="16324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Opcja</w:t>
            </w:r>
          </w:p>
        </w:tc>
        <w:tc>
          <w:tcPr>
            <w:tcW w:type="dxa" w:w="2062"/>
            <w:shd w:fill="16324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Start / koszt</w:t>
            </w:r>
          </w:p>
        </w:tc>
        <w:tc>
          <w:tcPr>
            <w:tcW w:type="dxa" w:w="2062"/>
            <w:shd w:fill="16324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B2B</w:t>
            </w:r>
          </w:p>
        </w:tc>
        <w:tc>
          <w:tcPr>
            <w:tcW w:type="dxa" w:w="2062"/>
            <w:shd w:fill="16324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Cross-border</w:t>
            </w:r>
          </w:p>
        </w:tc>
        <w:tc>
          <w:tcPr>
            <w:tcW w:type="dxa" w:w="2062"/>
            <w:shd w:fill="16324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Kiedy wybrać</w:t>
            </w:r>
          </w:p>
        </w:tc>
      </w:tr>
      <w:tr>
        <w:tc>
          <w:tcPr>
            <w:tcW w:type="dxa" w:w="2062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F6FB0"/>
                <w:sz w:val="16"/>
              </w:rPr>
              <w:t>WooCommerce</w:t>
            </w:r>
          </w:p>
        </w:tc>
        <w:tc>
          <w:tcPr>
            <w:tcW w:type="dxa" w:w="2062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6"/>
              </w:rPr>
              <w:t>Niski-średni / szybki</w:t>
            </w:r>
          </w:p>
        </w:tc>
        <w:tc>
          <w:tcPr>
            <w:tcW w:type="dxa" w:w="2062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6"/>
              </w:rPr>
              <w:t>Dobry przy płatnym, spójnym module</w:t>
            </w:r>
          </w:p>
        </w:tc>
        <w:tc>
          <w:tcPr>
            <w:tcW w:type="dxa" w:w="2062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6"/>
              </w:rPr>
              <w:t>Dobry z odpowiednią konfiguracją</w:t>
            </w:r>
          </w:p>
        </w:tc>
        <w:tc>
          <w:tcPr>
            <w:tcW w:type="dxa" w:w="2062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6"/>
              </w:rPr>
              <w:t>Najlepszy dla obecnego etapu, gdy liczy się elastyczność i kontrola kosztów.</w:t>
            </w:r>
          </w:p>
        </w:tc>
      </w:tr>
      <w:tr>
        <w:tc>
          <w:tcPr>
            <w:tcW w:type="dxa" w:w="2062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F6FB0"/>
                <w:sz w:val="16"/>
              </w:rPr>
              <w:t>IdoSell / SaaS</w:t>
            </w:r>
          </w:p>
        </w:tc>
        <w:tc>
          <w:tcPr>
            <w:tcW w:type="dxa" w:w="2062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6"/>
              </w:rPr>
              <w:t>Średni / szybki</w:t>
            </w:r>
          </w:p>
        </w:tc>
        <w:tc>
          <w:tcPr>
            <w:tcW w:type="dxa" w:w="2062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6"/>
              </w:rPr>
              <w:t>Wbudowane mechanizmy, zależne od planu</w:t>
            </w:r>
          </w:p>
        </w:tc>
        <w:tc>
          <w:tcPr>
            <w:tcW w:type="dxa" w:w="2062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6"/>
              </w:rPr>
              <w:t>Bardzo dobry</w:t>
            </w:r>
          </w:p>
        </w:tc>
        <w:tc>
          <w:tcPr>
            <w:tcW w:type="dxa" w:w="2062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6"/>
              </w:rPr>
              <w:t>Gdy priorytetem jest szybki cross-border i mniejsza odpowiedzialność techniczna.</w:t>
            </w:r>
          </w:p>
        </w:tc>
      </w:tr>
      <w:tr>
        <w:tc>
          <w:tcPr>
            <w:tcW w:type="dxa" w:w="2062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F6FB0"/>
                <w:sz w:val="16"/>
              </w:rPr>
              <w:t>Magento / Adobe</w:t>
            </w:r>
          </w:p>
        </w:tc>
        <w:tc>
          <w:tcPr>
            <w:tcW w:type="dxa" w:w="2062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6"/>
              </w:rPr>
              <w:t>Wysoki / wolniejszy</w:t>
            </w:r>
          </w:p>
        </w:tc>
        <w:tc>
          <w:tcPr>
            <w:tcW w:type="dxa" w:w="2062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6"/>
              </w:rPr>
              <w:t>Bardzo dobry dla złożonych procesów</w:t>
            </w:r>
          </w:p>
        </w:tc>
        <w:tc>
          <w:tcPr>
            <w:tcW w:type="dxa" w:w="2062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6"/>
              </w:rPr>
              <w:t>Bardzo dobry</w:t>
            </w:r>
          </w:p>
        </w:tc>
        <w:tc>
          <w:tcPr>
            <w:tcW w:type="dxa" w:w="2062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6"/>
              </w:rPr>
              <w:t>Gdy firma ma duży katalog, wiele ról, cenników, krajów i budżet na stały zespół.</w:t>
            </w:r>
          </w:p>
        </w:tc>
      </w:tr>
    </w:tbl>
    <w:p>
      <w:pPr>
        <w:pStyle w:val="Heading2"/>
        <w:spacing w:before="100" w:after="100"/>
        <w:keepNext w:val="1"/>
      </w:pPr>
      <w:r>
        <w:rPr>
          <w:rFonts w:ascii="Liberation Sans" w:hAnsi="Liberation Sans" w:eastAsia="Liberation Sans"/>
          <w:b/>
          <w:color w:val="16324F"/>
          <w:sz w:val="23"/>
        </w:rPr>
        <w:t>Minimalny zestaw funkcjonalny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5156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6324F"/>
                <w:sz w:val="17"/>
              </w:rPr>
              <w:t>Konta firmowe</w:t>
            </w:r>
          </w:p>
          <w:p>
            <w:pPr>
              <w:spacing w:before="40" w:after="0"/>
            </w:pPr>
            <w:r>
              <w:rPr>
                <w:rFonts w:ascii="Liberation Sans" w:hAnsi="Liberation Sans" w:eastAsia="Liberation Sans"/>
                <w:color w:val="263445"/>
                <w:sz w:val="16"/>
              </w:rPr>
              <w:t>rejestracja, NIP/VAT, akceptacja, role kupujących i limity dostępu</w:t>
            </w:r>
          </w:p>
        </w:tc>
        <w:tc>
          <w:tcPr>
            <w:tcW w:type="dxa" w:w="5156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6324F"/>
                <w:sz w:val="17"/>
              </w:rPr>
              <w:t>Cenniki</w:t>
            </w:r>
          </w:p>
          <w:p>
            <w:pPr>
              <w:spacing w:before="40" w:after="0"/>
            </w:pPr>
            <w:r>
              <w:rPr>
                <w:rFonts w:ascii="Liberation Sans" w:hAnsi="Liberation Sans" w:eastAsia="Liberation Sans"/>
                <w:color w:val="263445"/>
                <w:sz w:val="16"/>
              </w:rPr>
              <w:t>grupy cenowe, rabaty ilościowe, indywidualne warunki i promocje B2B</w:t>
            </w:r>
          </w:p>
        </w:tc>
      </w:tr>
      <w:tr>
        <w:tc>
          <w:tcPr>
            <w:tcW w:type="dxa" w:w="5156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6324F"/>
                <w:sz w:val="17"/>
              </w:rPr>
              <w:t>Katalog produktu</w:t>
            </w:r>
          </w:p>
          <w:p>
            <w:pPr>
              <w:spacing w:before="40" w:after="0"/>
            </w:pPr>
            <w:r>
              <w:rPr>
                <w:rFonts w:ascii="Liberation Sans" w:hAnsi="Liberation Sans" w:eastAsia="Liberation Sans"/>
                <w:color w:val="263445"/>
                <w:sz w:val="16"/>
              </w:rPr>
              <w:t>warianty, części kompatybilne, instrukcje, porównania i dane wielojęzyczne</w:t>
            </w:r>
          </w:p>
        </w:tc>
        <w:tc>
          <w:tcPr>
            <w:tcW w:type="dxa" w:w="5156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6324F"/>
                <w:sz w:val="17"/>
              </w:rPr>
              <w:t>ERP / magazyn</w:t>
            </w:r>
          </w:p>
          <w:p>
            <w:pPr>
              <w:spacing w:before="40" w:after="0"/>
            </w:pPr>
            <w:r>
              <w:rPr>
                <w:rFonts w:ascii="Liberation Sans" w:hAnsi="Liberation Sans" w:eastAsia="Liberation Sans"/>
                <w:color w:val="263445"/>
                <w:sz w:val="16"/>
              </w:rPr>
              <w:t>stany, rezerwacje, dokumenty, numery seryjne, zwroty i synchronizacja zamówień</w:t>
            </w:r>
          </w:p>
        </w:tc>
      </w:tr>
      <w:tr>
        <w:tc>
          <w:tcPr>
            <w:tcW w:type="dxa" w:w="5156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6324F"/>
                <w:sz w:val="17"/>
              </w:rPr>
              <w:t>Cross-border</w:t>
            </w:r>
          </w:p>
          <w:p>
            <w:pPr>
              <w:spacing w:before="40" w:after="0"/>
            </w:pPr>
            <w:r>
              <w:rPr>
                <w:rFonts w:ascii="Liberation Sans" w:hAnsi="Liberation Sans" w:eastAsia="Liberation Sans"/>
                <w:color w:val="263445"/>
                <w:sz w:val="16"/>
              </w:rPr>
              <w:t>PL/DE/EN, EUR/PLN, VAT OSS, dostawy, zwroty i lokalne komunikaty prawne</w:t>
            </w:r>
          </w:p>
        </w:tc>
        <w:tc>
          <w:tcPr>
            <w:tcW w:type="dxa" w:w="5156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6324F"/>
                <w:sz w:val="17"/>
              </w:rPr>
              <w:t>Serwis</w:t>
            </w:r>
          </w:p>
          <w:p>
            <w:pPr>
              <w:spacing w:before="40" w:after="0"/>
            </w:pPr>
            <w:r>
              <w:rPr>
                <w:rFonts w:ascii="Liberation Sans" w:hAnsi="Liberation Sans" w:eastAsia="Liberation Sans"/>
                <w:color w:val="263445"/>
                <w:sz w:val="16"/>
              </w:rPr>
              <w:t>zgłoszenie naprawy, status, części, gwarancja, baza wiedzy i kontakt techniczny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524"/>
      </w:tblGrid>
      <w:tr>
        <w:tc>
          <w:tcPr>
            <w:tcW w:type="dxa" w:w="5156"/>
            <w:shd w:fill="F4B94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/>
        </w:tc>
        <w:tc>
          <w:tcPr>
            <w:tcW w:type="dxa" w:w="5156"/>
            <w:shd w:fill="FFF7E0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6324F"/>
                <w:sz w:val="20"/>
              </w:rPr>
              <w:t>Zasada techniczna</w:t>
            </w:r>
          </w:p>
          <w:p>
            <w:pPr>
              <w:spacing w:before="40" w:after="0"/>
            </w:pPr>
            <w:r>
              <w:rPr>
                <w:rFonts w:ascii="Liberation Sans" w:hAnsi="Liberation Sans" w:eastAsia="Liberation Sans"/>
                <w:color w:val="263445"/>
                <w:sz w:val="18"/>
              </w:rPr>
              <w:t>Nie wybierać platformy wyłącznie na podstawie listy wtyczek. Najpierw należy opisać procesy B2B, role użytkowników, politykę cenową, obsługę serwisu i integracje. Dopiero potem platformę można ocenić pod kątem kosztu, ryzyka i przyszłej skali.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160" w:after="100"/>
        <w:keepNext w:val="1"/>
      </w:pPr>
      <w:r>
        <w:rPr>
          <w:rFonts w:ascii="Liberation Sans" w:hAnsi="Liberation Sans" w:eastAsia="Liberation Sans"/>
          <w:b/>
          <w:color w:val="2F6FB0"/>
          <w:sz w:val="32"/>
        </w:rPr>
        <w:t xml:space="preserve">06  </w:t>
      </w:r>
      <w:r>
        <w:rPr>
          <w:rFonts w:ascii="Liberation Sans" w:hAnsi="Liberation Sans" w:eastAsia="Liberation Sans"/>
          <w:b/>
          <w:color w:val="16324F"/>
          <w:sz w:val="32"/>
        </w:rPr>
        <w:t>Plan wdrożenia 90 dni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2608"/>
        <w:gridCol w:w="2835"/>
        <w:gridCol w:w="2381"/>
      </w:tblGrid>
      <w:tr>
        <w:tc>
          <w:tcPr>
            <w:tcW w:type="dxa" w:w="2578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Etap</w:t>
            </w:r>
          </w:p>
        </w:tc>
        <w:tc>
          <w:tcPr>
            <w:tcW w:type="dxa" w:w="2578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Zakres</w:t>
            </w:r>
          </w:p>
        </w:tc>
        <w:tc>
          <w:tcPr>
            <w:tcW w:type="dxa" w:w="2578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Rezultat</w:t>
            </w:r>
          </w:p>
        </w:tc>
        <w:tc>
          <w:tcPr>
            <w:tcW w:type="dxa" w:w="2578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Brama decyzyjna</w:t>
            </w:r>
          </w:p>
        </w:tc>
      </w:tr>
      <w:tr>
        <w:tc>
          <w:tcPr>
            <w:tcW w:type="dxa" w:w="2578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F6FB0"/>
                <w:sz w:val="16"/>
              </w:rPr>
              <w:t>0-30 dni</w:t>
            </w:r>
          </w:p>
        </w:tc>
        <w:tc>
          <w:tcPr>
            <w:tcW w:type="dxa" w:w="2578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6"/>
              </w:rPr>
              <w:t>Architektura informacji, prototyp kluczowych ekranów, model kont B2B, dane produktów, wybór integracji.</w:t>
            </w:r>
          </w:p>
        </w:tc>
        <w:tc>
          <w:tcPr>
            <w:tcW w:type="dxa" w:w="2578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6"/>
              </w:rPr>
              <w:t>Zatwierdzony zakres MVP i backlog wdrożenia.</w:t>
            </w:r>
          </w:p>
        </w:tc>
        <w:tc>
          <w:tcPr>
            <w:tcW w:type="dxa" w:w="2578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6"/>
              </w:rPr>
              <w:t>Czy proces hurtowy jest jednoznaczny i mierzalny?</w:t>
            </w:r>
          </w:p>
        </w:tc>
      </w:tr>
      <w:tr>
        <w:tc>
          <w:tcPr>
            <w:tcW w:type="dxa" w:w="2578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F6FB0"/>
                <w:sz w:val="16"/>
              </w:rPr>
              <w:t>31-60 dni</w:t>
            </w:r>
          </w:p>
        </w:tc>
        <w:tc>
          <w:tcPr>
            <w:tcW w:type="dxa" w:w="2578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6"/>
              </w:rPr>
              <w:t>Sklep detaliczny, rejestracja B2B, grupy cenowe, płatności, dostawy, integracja stanów.</w:t>
            </w:r>
          </w:p>
        </w:tc>
        <w:tc>
          <w:tcPr>
            <w:tcW w:type="dxa" w:w="2578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6"/>
              </w:rPr>
              <w:t>Działająca wersja testowa PL z kontami firmowymi.</w:t>
            </w:r>
          </w:p>
        </w:tc>
        <w:tc>
          <w:tcPr>
            <w:tcW w:type="dxa" w:w="2578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6"/>
              </w:rPr>
              <w:t>Czy ceny, stany i dokumenty są spójne z ERP?</w:t>
            </w:r>
          </w:p>
        </w:tc>
      </w:tr>
      <w:tr>
        <w:tc>
          <w:tcPr>
            <w:tcW w:type="dxa" w:w="2578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F6FB0"/>
                <w:sz w:val="16"/>
              </w:rPr>
              <w:t>61-90 dni</w:t>
            </w:r>
          </w:p>
        </w:tc>
        <w:tc>
          <w:tcPr>
            <w:tcW w:type="dxa" w:w="2578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6"/>
              </w:rPr>
              <w:t>DE/EN, VAT i logistyka, serwis, baza wiedzy, analityka, testy partnerów.</w:t>
            </w:r>
          </w:p>
        </w:tc>
        <w:tc>
          <w:tcPr>
            <w:tcW w:type="dxa" w:w="2578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6"/>
              </w:rPr>
              <w:t>Gotowość do ograniczonego uruchomienia i skalowania.</w:t>
            </w:r>
          </w:p>
        </w:tc>
        <w:tc>
          <w:tcPr>
            <w:tcW w:type="dxa" w:w="2578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color w:val="263445"/>
                <w:sz w:val="16"/>
              </w:rPr>
              <w:t>Czy konwersja, obsługa i błędy mieszczą się w założeniach?</w:t>
            </w:r>
          </w:p>
        </w:tc>
      </w:tr>
    </w:tbl>
    <w:p>
      <w:pPr>
        <w:pStyle w:val="Heading2"/>
        <w:spacing w:before="100" w:after="100"/>
        <w:keepNext w:val="1"/>
      </w:pPr>
      <w:r>
        <w:rPr>
          <w:rFonts w:ascii="Liberation Sans" w:hAnsi="Liberation Sans" w:eastAsia="Liberation Sans"/>
          <w:b/>
          <w:color w:val="16324F"/>
          <w:sz w:val="23"/>
        </w:rPr>
        <w:t>Wskaźniki powodzenia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578"/>
            <w:shd w:fill="EAF2F8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6324F"/>
                <w:sz w:val="17"/>
              </w:rPr>
              <w:t>Aktywacja B2B</w:t>
            </w:r>
          </w:p>
          <w:p>
            <w:pPr>
              <w:spacing w:before="40" w:after="0"/>
            </w:pPr>
            <w:r>
              <w:rPr>
                <w:rFonts w:ascii="Liberation Sans" w:hAnsi="Liberation Sans" w:eastAsia="Liberation Sans"/>
                <w:color w:val="263445"/>
                <w:sz w:val="14"/>
              </w:rPr>
              <w:t>odsetek zweryfikowanych kont składających pierwsze zamówienie</w:t>
            </w:r>
          </w:p>
        </w:tc>
        <w:tc>
          <w:tcPr>
            <w:tcW w:type="dxa" w:w="2578"/>
            <w:shd w:fill="EAF2F8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6324F"/>
                <w:sz w:val="17"/>
              </w:rPr>
              <w:t>Czas obsługi</w:t>
            </w:r>
          </w:p>
          <w:p>
            <w:pPr>
              <w:spacing w:before="40" w:after="0"/>
            </w:pPr>
            <w:r>
              <w:rPr>
                <w:rFonts w:ascii="Liberation Sans" w:hAnsi="Liberation Sans" w:eastAsia="Liberation Sans"/>
                <w:color w:val="263445"/>
                <w:sz w:val="14"/>
              </w:rPr>
              <w:t>czas od rejestracji firmy do przyznania warunków handlowych</w:t>
            </w:r>
          </w:p>
        </w:tc>
        <w:tc>
          <w:tcPr>
            <w:tcW w:type="dxa" w:w="2578"/>
            <w:shd w:fill="EAF2F8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6324F"/>
                <w:sz w:val="17"/>
              </w:rPr>
              <w:t>Jakość katalogu</w:t>
            </w:r>
          </w:p>
          <w:p>
            <w:pPr>
              <w:spacing w:before="40" w:after="0"/>
            </w:pPr>
            <w:r>
              <w:rPr>
                <w:rFonts w:ascii="Liberation Sans" w:hAnsi="Liberation Sans" w:eastAsia="Liberation Sans"/>
                <w:color w:val="263445"/>
                <w:sz w:val="14"/>
              </w:rPr>
              <w:t>udział produktów z pełnymi danymi, instrukcjami i kompatybilnością części</w:t>
            </w:r>
          </w:p>
        </w:tc>
        <w:tc>
          <w:tcPr>
            <w:tcW w:type="dxa" w:w="2578"/>
            <w:shd w:fill="EAF2F8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6324F"/>
                <w:sz w:val="17"/>
              </w:rPr>
              <w:t>Cross-border</w:t>
            </w:r>
          </w:p>
          <w:p>
            <w:pPr>
              <w:spacing w:before="40" w:after="0"/>
            </w:pPr>
            <w:r>
              <w:rPr>
                <w:rFonts w:ascii="Liberation Sans" w:hAnsi="Liberation Sans" w:eastAsia="Liberation Sans"/>
                <w:color w:val="263445"/>
                <w:sz w:val="14"/>
              </w:rPr>
              <w:t>konwersja i koszt obsługi zamówienia na rynek DE/UE</w:t>
            </w:r>
          </w:p>
        </w:tc>
      </w:tr>
      <w:tr>
        <w:tc>
          <w:tcPr>
            <w:tcW w:type="dxa" w:w="2578"/>
            <w:shd w:fill="E8F4F2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6324F"/>
                <w:sz w:val="17"/>
              </w:rPr>
              <w:t>Serwis</w:t>
            </w:r>
          </w:p>
          <w:p>
            <w:pPr>
              <w:spacing w:before="40" w:after="0"/>
            </w:pPr>
            <w:r>
              <w:rPr>
                <w:rFonts w:ascii="Liberation Sans" w:hAnsi="Liberation Sans" w:eastAsia="Liberation Sans"/>
                <w:color w:val="263445"/>
                <w:sz w:val="14"/>
              </w:rPr>
              <w:t>czas pierwszej odpowiedzi i zamknięcia zgłoszenia</w:t>
            </w:r>
          </w:p>
        </w:tc>
        <w:tc>
          <w:tcPr>
            <w:tcW w:type="dxa" w:w="2578"/>
            <w:shd w:fill="E8F4F2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6324F"/>
                <w:sz w:val="17"/>
              </w:rPr>
              <w:t>Synchronizacja</w:t>
            </w:r>
          </w:p>
          <w:p>
            <w:pPr>
              <w:spacing w:before="40" w:after="0"/>
            </w:pPr>
            <w:r>
              <w:rPr>
                <w:rFonts w:ascii="Liberation Sans" w:hAnsi="Liberation Sans" w:eastAsia="Liberation Sans"/>
                <w:color w:val="263445"/>
                <w:sz w:val="14"/>
              </w:rPr>
              <w:t>liczba błędów cen, stanów i dokumentów</w:t>
            </w:r>
          </w:p>
        </w:tc>
        <w:tc>
          <w:tcPr>
            <w:tcW w:type="dxa" w:w="2578"/>
            <w:shd w:fill="E8F4F2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6324F"/>
                <w:sz w:val="17"/>
              </w:rPr>
              <w:t>Wartość klienta</w:t>
            </w:r>
          </w:p>
          <w:p>
            <w:pPr>
              <w:spacing w:before="40" w:after="0"/>
            </w:pPr>
            <w:r>
              <w:rPr>
                <w:rFonts w:ascii="Liberation Sans" w:hAnsi="Liberation Sans" w:eastAsia="Liberation Sans"/>
                <w:color w:val="263445"/>
                <w:sz w:val="14"/>
              </w:rPr>
              <w:t>częstotliwość zamówień i średnia wartość koszyka B2B</w:t>
            </w:r>
          </w:p>
        </w:tc>
        <w:tc>
          <w:tcPr>
            <w:tcW w:type="dxa" w:w="2578"/>
            <w:shd w:fill="E8F4F2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6324F"/>
                <w:sz w:val="17"/>
              </w:rPr>
              <w:t>Samodzielność</w:t>
            </w:r>
          </w:p>
          <w:p>
            <w:pPr>
              <w:spacing w:before="40" w:after="0"/>
            </w:pPr>
            <w:r>
              <w:rPr>
                <w:rFonts w:ascii="Liberation Sans" w:hAnsi="Liberation Sans" w:eastAsia="Liberation Sans"/>
                <w:color w:val="263445"/>
                <w:sz w:val="14"/>
              </w:rPr>
              <w:t>udział spraw rozwiązanych bez telefonu i ręcznej korekty</w:t>
            </w:r>
          </w:p>
        </w:tc>
      </w:tr>
    </w:tbl>
    <w:p>
      <w:pPr>
        <w:pStyle w:val="Heading2"/>
        <w:spacing w:before="100" w:after="100"/>
        <w:keepNext w:val="1"/>
      </w:pPr>
      <w:r>
        <w:rPr>
          <w:rFonts w:ascii="Liberation Sans" w:hAnsi="Liberation Sans" w:eastAsia="Liberation Sans"/>
          <w:b/>
          <w:color w:val="16324F"/>
          <w:sz w:val="23"/>
        </w:rPr>
        <w:t>Decyzje wymagane przed developmentem</w:t>
      </w:r>
    </w:p>
    <w:p>
      <w:pPr>
        <w:pStyle w:val="ListBullet"/>
        <w:spacing w:after="50" w:line="259" w:lineRule="auto"/>
        <w:keepLines w:val="1"/>
      </w:pPr>
      <w:r>
        <w:rPr>
          <w:rFonts w:ascii="Liberation Sans" w:hAnsi="Liberation Sans" w:eastAsia="Liberation Sans"/>
          <w:color w:val="263445"/>
          <w:sz w:val="18"/>
        </w:rPr>
        <w:t>Czy B2B ma działać jako osobny portal, czy jako role i cenniki w jednym sklepie?</w:t>
      </w:r>
    </w:p>
    <w:p>
      <w:pPr>
        <w:pStyle w:val="ListBullet"/>
        <w:spacing w:after="50" w:line="259" w:lineRule="auto"/>
        <w:keepLines w:val="1"/>
      </w:pPr>
      <w:r>
        <w:rPr>
          <w:rFonts w:ascii="Liberation Sans" w:hAnsi="Liberation Sans" w:eastAsia="Liberation Sans"/>
          <w:color w:val="263445"/>
          <w:sz w:val="18"/>
        </w:rPr>
        <w:t>Które dane i operacje są systemem nadrzędnym: ERP, BaseLinker, sklep czy WMS?</w:t>
      </w:r>
    </w:p>
    <w:p>
      <w:pPr>
        <w:pStyle w:val="ListBullet"/>
        <w:spacing w:after="50" w:line="259" w:lineRule="auto"/>
        <w:keepLines w:val="1"/>
      </w:pPr>
      <w:r>
        <w:rPr>
          <w:rFonts w:ascii="Liberation Sans" w:hAnsi="Liberation Sans" w:eastAsia="Liberation Sans"/>
          <w:color w:val="263445"/>
          <w:sz w:val="18"/>
        </w:rPr>
        <w:t>Czy partnerzy mogą składać zamówienia bez płatności online i z limitem kupieckim?</w:t>
      </w:r>
    </w:p>
    <w:p>
      <w:pPr>
        <w:pStyle w:val="ListBullet"/>
        <w:spacing w:after="50" w:line="259" w:lineRule="auto"/>
        <w:keepLines w:val="1"/>
      </w:pPr>
      <w:r>
        <w:rPr>
          <w:rFonts w:ascii="Liberation Sans" w:hAnsi="Liberation Sans" w:eastAsia="Liberation Sans"/>
          <w:color w:val="263445"/>
          <w:sz w:val="18"/>
        </w:rPr>
        <w:t>Jakie rynki i języki wchodzą do pierwszego uruchomienia, a jakie pozostają w kolejce?</w:t>
      </w:r>
    </w:p>
    <w:p>
      <w:pPr>
        <w:pStyle w:val="ListBullet"/>
        <w:spacing w:after="50" w:line="259" w:lineRule="auto"/>
        <w:keepLines w:val="1"/>
      </w:pPr>
      <w:r>
        <w:rPr>
          <w:rFonts w:ascii="Liberation Sans" w:hAnsi="Liberation Sans" w:eastAsia="Liberation Sans"/>
          <w:color w:val="263445"/>
          <w:sz w:val="18"/>
        </w:rPr>
        <w:t>Jak wygląda pełny proces gwarancji, części i serwisu - od zgłoszenia do zamknięcia?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524"/>
      </w:tblGrid>
      <w:tr>
        <w:tc>
          <w:tcPr>
            <w:tcW w:type="dxa" w:w="5156"/>
            <w:shd w:fill="0F766E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/>
        </w:tc>
        <w:tc>
          <w:tcPr>
            <w:tcW w:type="dxa" w:w="5156"/>
            <w:shd w:fill="E8F4F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6324F"/>
                <w:sz w:val="20"/>
              </w:rPr>
              <w:t>Rekomendacja końcowa</w:t>
            </w:r>
          </w:p>
          <w:p>
            <w:pPr>
              <w:spacing w:before="40" w:after="0"/>
            </w:pPr>
            <w:r>
              <w:rPr>
                <w:rFonts w:ascii="Liberation Sans" w:hAnsi="Liberation Sans" w:eastAsia="Liberation Sans"/>
                <w:color w:val="263445"/>
                <w:sz w:val="18"/>
              </w:rPr>
              <w:t>Najbardziej racjonalne jest szybkie, dobrze zaprojektowane MVP na WooCommerce, ale z architekturą danych i integracji, która nie zamyka drogi do późniejszej migracji. Przewaga BILLS powinna wynikać z połączenia autoryzowanej dystrybucji, eksperckiej treści, serwisu i sprawnego B2B - nie z samej platformy.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160" w:after="100"/>
        <w:keepNext w:val="1"/>
      </w:pPr>
      <w:r>
        <w:rPr>
          <w:rFonts w:ascii="Liberation Sans" w:hAnsi="Liberation Sans" w:eastAsia="Liberation Sans"/>
          <w:b/>
          <w:color w:val="2F6FB0"/>
          <w:sz w:val="32"/>
        </w:rPr>
        <w:t xml:space="preserve">07  </w:t>
      </w:r>
      <w:r>
        <w:rPr>
          <w:rFonts w:ascii="Liberation Sans" w:hAnsi="Liberation Sans" w:eastAsia="Liberation Sans"/>
          <w:b/>
          <w:color w:val="16324F"/>
          <w:sz w:val="32"/>
        </w:rPr>
        <w:t>Ograniczenia i dalsza weryfikacja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524"/>
      </w:tblGrid>
      <w:tr>
        <w:tc>
          <w:tcPr>
            <w:tcW w:type="dxa" w:w="5156"/>
            <w:shd w:fill="B42318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/>
        </w:tc>
        <w:tc>
          <w:tcPr>
            <w:tcW w:type="dxa" w:w="5156"/>
            <w:shd w:fill="FDEDEC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6324F"/>
                <w:sz w:val="20"/>
              </w:rPr>
              <w:t>Najważniejsze zastrzeżenie</w:t>
            </w:r>
          </w:p>
          <w:p>
            <w:pPr>
              <w:spacing w:before="40" w:after="0"/>
            </w:pPr>
            <w:r>
              <w:rPr>
                <w:rFonts w:ascii="Liberation Sans" w:hAnsi="Liberation Sans" w:eastAsia="Liberation Sans"/>
                <w:color w:val="263445"/>
                <w:sz w:val="18"/>
              </w:rPr>
              <w:t>Publiczna analiza frontendu pozwala wiarygodnie rozpoznać część platform, funkcji i komunikacji sklepu. Nie pozwala jednak potwierdzić wewnętrznego ERP, WMS, marż, umów dystrybucyjnych ani rzeczywistego wolumenu sprzedaży.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17"/>
      </w:tblGrid>
      <w:tr>
        <w:tc>
          <w:tcPr>
            <w:tcW w:type="dxa" w:w="5156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6324F"/>
                <w:sz w:val="17"/>
              </w:rPr>
              <w:t>ERP i WMS</w:t>
            </w:r>
          </w:p>
        </w:tc>
        <w:tc>
          <w:tcPr>
            <w:tcW w:type="dxa" w:w="5156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263445"/>
                <w:sz w:val="16"/>
              </w:rPr>
              <w:t>Systemy backendowe są z definicji ukryte. Wskazane nazwy należy traktować jako prawdopodobne scenariusze integracyjne, a nie ustalenia.</w:t>
            </w:r>
          </w:p>
        </w:tc>
      </w:tr>
      <w:tr>
        <w:tc>
          <w:tcPr>
            <w:tcW w:type="dxa" w:w="5156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6324F"/>
                <w:sz w:val="17"/>
              </w:rPr>
              <w:t>Cenniki hurtowe</w:t>
            </w:r>
          </w:p>
        </w:tc>
        <w:tc>
          <w:tcPr>
            <w:tcW w:type="dxa" w:w="5156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263445"/>
                <w:sz w:val="16"/>
              </w:rPr>
              <w:t>Pełne warunki B2B są często dostępne dopiero po akceptacji konta. Do porównania potrzebne są testowe rejestracje firmowe i rozmowy handlowe.</w:t>
            </w:r>
          </w:p>
        </w:tc>
      </w:tr>
      <w:tr>
        <w:tc>
          <w:tcPr>
            <w:tcW w:type="dxa" w:w="5156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6324F"/>
                <w:sz w:val="17"/>
              </w:rPr>
              <w:t>Powiązania właścicielskie</w:t>
            </w:r>
          </w:p>
        </w:tc>
        <w:tc>
          <w:tcPr>
            <w:tcW w:type="dxa" w:w="5156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263445"/>
                <w:sz w:val="16"/>
              </w:rPr>
              <w:t>Podobieństwo technologiczne domen nie jest dowodem wspólnego właściciela. Wymaga danych rejestrowych, regulaminów i informacji o operatorze.</w:t>
            </w:r>
          </w:p>
        </w:tc>
      </w:tr>
      <w:tr>
        <w:tc>
          <w:tcPr>
            <w:tcW w:type="dxa" w:w="5156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6324F"/>
                <w:sz w:val="17"/>
              </w:rPr>
              <w:t>Status autoryzacji</w:t>
            </w:r>
          </w:p>
        </w:tc>
        <w:tc>
          <w:tcPr>
            <w:tcW w:type="dxa" w:w="5156"/>
            <w:shd w:fill="F3F6F9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263445"/>
                <w:sz w:val="16"/>
              </w:rPr>
              <w:t>Treści serwisowe i wizerunek specjalisty nie potwierdzają autoryzacji producenta. Status należy potwierdzać w dokumentach lub bezpośrednio u marki.</w:t>
            </w:r>
          </w:p>
        </w:tc>
      </w:tr>
      <w:tr>
        <w:tc>
          <w:tcPr>
            <w:tcW w:type="dxa" w:w="5156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6324F"/>
                <w:sz w:val="17"/>
              </w:rPr>
              <w:t>Zmiany w czasie</w:t>
            </w:r>
          </w:p>
        </w:tc>
        <w:tc>
          <w:tcPr>
            <w:tcW w:type="dxa" w:w="5156"/>
            <w:shd w:fill="FFFFFF"/>
            <w:tcBorders>
              <w:top w:sz="3" w:val="single" w:color="D7E0E8"/>
              <w:left w:sz="3" w:val="single" w:color="D7E0E8"/>
              <w:bottom w:sz="3" w:val="single" w:color="D7E0E8"/>
              <w:right w:sz="3" w:val="single" w:color="D7E0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263445"/>
                <w:sz w:val="16"/>
              </w:rPr>
              <w:t>Platformy, integracje, ceny i modele sprzedaży mogą ulec zmianie. Benchmark należy datować i okresowo aktualizować.</w:t>
            </w:r>
          </w:p>
        </w:tc>
      </w:tr>
    </w:tbl>
    <w:p>
      <w:pPr>
        <w:pStyle w:val="Heading2"/>
        <w:spacing w:before="100" w:after="100"/>
        <w:keepNext w:val="1"/>
      </w:pPr>
      <w:r>
        <w:rPr>
          <w:rFonts w:ascii="Liberation Sans" w:hAnsi="Liberation Sans" w:eastAsia="Liberation Sans"/>
          <w:b/>
          <w:color w:val="16324F"/>
          <w:sz w:val="23"/>
        </w:rPr>
        <w:t>Następny etap badania</w:t>
      </w:r>
    </w:p>
    <w:p>
      <w:pPr>
        <w:pStyle w:val="ListBullet"/>
        <w:spacing w:after="50" w:line="259" w:lineRule="auto"/>
        <w:keepLines w:val="1"/>
      </w:pPr>
      <w:r>
        <w:rPr>
          <w:rFonts w:ascii="Liberation Sans" w:hAnsi="Liberation Sans" w:eastAsia="Liberation Sans"/>
          <w:color w:val="263445"/>
          <w:sz w:val="18"/>
        </w:rPr>
        <w:t>Utworzyć kontrolowane konta B2B w wybranych sklepach i porównać proces akceptacji, ceny, MOQ oraz terminy płatności.</w:t>
      </w:r>
    </w:p>
    <w:p>
      <w:pPr>
        <w:pStyle w:val="ListBullet"/>
        <w:spacing w:after="50" w:line="259" w:lineRule="auto"/>
        <w:keepLines w:val="1"/>
      </w:pPr>
      <w:r>
        <w:rPr>
          <w:rFonts w:ascii="Liberation Sans" w:hAnsi="Liberation Sans" w:eastAsia="Liberation Sans"/>
          <w:color w:val="263445"/>
          <w:sz w:val="18"/>
        </w:rPr>
        <w:t>Przeprowadzić testy zakupowe PL i DE: dostawa, płatność, komunikacja po zamówieniu, zwrot i obsługa reklamacji.</w:t>
      </w:r>
    </w:p>
    <w:p>
      <w:pPr>
        <w:pStyle w:val="ListBullet"/>
        <w:spacing w:after="50" w:line="259" w:lineRule="auto"/>
        <w:keepLines w:val="1"/>
      </w:pPr>
      <w:r>
        <w:rPr>
          <w:rFonts w:ascii="Liberation Sans" w:hAnsi="Liberation Sans" w:eastAsia="Liberation Sans"/>
          <w:color w:val="263445"/>
          <w:sz w:val="18"/>
        </w:rPr>
        <w:t>Zebrać pełne regulaminy, dane operatorów, informacje o gwarancji i deklaracje autoryzacji.</w:t>
      </w:r>
    </w:p>
    <w:p>
      <w:pPr>
        <w:pStyle w:val="ListBullet"/>
        <w:spacing w:after="50" w:line="259" w:lineRule="auto"/>
        <w:keepLines w:val="1"/>
      </w:pPr>
      <w:r>
        <w:rPr>
          <w:rFonts w:ascii="Liberation Sans" w:hAnsi="Liberation Sans" w:eastAsia="Liberation Sans"/>
          <w:color w:val="263445"/>
          <w:sz w:val="18"/>
        </w:rPr>
        <w:t>Wykonać audyt SEO i widoczności produktowej dla fraz brandowych i generycznych.</w:t>
      </w:r>
    </w:p>
    <w:p>
      <w:pPr>
        <w:pStyle w:val="ListBullet"/>
        <w:spacing w:after="50" w:line="259" w:lineRule="auto"/>
        <w:keepLines w:val="1"/>
      </w:pPr>
      <w:r>
        <w:rPr>
          <w:rFonts w:ascii="Liberation Sans" w:hAnsi="Liberation Sans" w:eastAsia="Liberation Sans"/>
          <w:color w:val="263445"/>
          <w:sz w:val="18"/>
        </w:rPr>
        <w:t>Zbudować backlog funkcji według wartości dla partnera B2B, klienta detalicznego i zespołu operacyjnego.</w:t>
      </w:r>
    </w:p>
    <w:p>
      <w:pPr>
        <w:pStyle w:val="Heading2"/>
        <w:spacing w:before="100" w:after="100"/>
        <w:keepNext w:val="1"/>
      </w:pPr>
      <w:r>
        <w:rPr>
          <w:rFonts w:ascii="Liberation Sans" w:hAnsi="Liberation Sans" w:eastAsia="Liberation Sans"/>
          <w:b/>
          <w:color w:val="16324F"/>
          <w:sz w:val="23"/>
        </w:rPr>
        <w:t>Źródło materiału</w:t>
      </w:r>
    </w:p>
    <w:p>
      <w:r>
        <w:rPr>
          <w:rFonts w:ascii="Liberation Sans" w:hAnsi="Liberation Sans" w:eastAsia="Liberation Sans"/>
          <w:color w:val="5E6C7A"/>
          <w:sz w:val="17"/>
        </w:rPr>
        <w:t>Raport został zredagowany i przeprojektowany na podstawie dostarczonego dokumentu „competitor_research_report.pdf”. Nie wykonywano dodatkowej, bieżącej weryfikacji internetowej w ramach tej korekty.</w:t>
      </w:r>
    </w:p>
    <w:sectPr w:rsidR="00FC693F" w:rsidRPr="0006063C" w:rsidSect="00034616">
      <w:headerReference w:type="default" r:id="rId13"/>
      <w:footerReference w:type="default" r:id="rId14"/>
      <w:pgSz w:w="12240" w:h="15840"/>
      <w:pgMar w:top="822" w:right="964" w:bottom="794" w:left="964" w:header="369" w:footer="36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692"/>
      <w:gridCol w:w="2564"/>
    </w:tblGrid>
    <w:tr>
      <w:tc>
        <w:tcPr>
          <w:tcW w:type="dxa" w:w="5128"/>
          <w:tcBorders>
            <w:top w:sz="4" w:val="single" w:color="D7E0E8"/>
          </w:tcBorders>
          <w:tcMar>
            <w:top w:w="50" w:type="dxa"/>
            <w:start w:w="0" w:type="dxa"/>
            <w:bottom w:w="0" w:type="dxa"/>
            <w:end w:w="0" w:type="dxa"/>
          </w:tcMar>
        </w:tcPr>
        <w:p>
          <w:r>
            <w:rPr>
              <w:rFonts w:ascii="Liberation Sans" w:hAnsi="Liberation Sans" w:eastAsia="Liberation Sans"/>
              <w:color w:val="5E6C7A"/>
              <w:sz w:val="16"/>
            </w:rPr>
            <w:t>BILLS - analiza konkurencji | Materiał roboczy</w:t>
          </w:r>
        </w:p>
      </w:tc>
      <w:tc>
        <w:tcPr>
          <w:tcW w:type="dxa" w:w="5128"/>
          <w:tcBorders>
            <w:top w:sz="4" w:val="single" w:color="D7E0E8"/>
          </w:tcBorders>
          <w:tcMar>
            <w:top w:w="5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Liberation Sans" w:hAnsi="Liberation Sans" w:eastAsia="Liberation Sans"/>
              <w:color w:val="5E6C7A"/>
              <w:sz w:val="16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10689"/>
      <w:gridCol w:w="3563"/>
    </w:tblGrid>
    <w:tr>
      <w:tc>
        <w:tcPr>
          <w:tcW w:type="dxa" w:w="7126"/>
          <w:tcBorders>
            <w:top w:sz="4" w:val="single" w:color="D7E0E8"/>
          </w:tcBorders>
          <w:tcMar>
            <w:top w:w="50" w:type="dxa"/>
            <w:start w:w="0" w:type="dxa"/>
            <w:bottom w:w="0" w:type="dxa"/>
            <w:end w:w="0" w:type="dxa"/>
          </w:tcMar>
        </w:tcPr>
        <w:p>
          <w:r>
            <w:rPr>
              <w:rFonts w:ascii="Liberation Sans" w:hAnsi="Liberation Sans" w:eastAsia="Liberation Sans"/>
              <w:color w:val="5E6C7A"/>
              <w:sz w:val="16"/>
            </w:rPr>
            <w:t>BILLS - analiza konkurencji | Materiał roboczy</w:t>
          </w:r>
        </w:p>
      </w:tc>
      <w:tc>
        <w:tcPr>
          <w:tcW w:type="dxa" w:w="7126"/>
          <w:tcBorders>
            <w:top w:sz="4" w:val="single" w:color="D7E0E8"/>
          </w:tcBorders>
          <w:tcMar>
            <w:top w:w="5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Liberation Sans" w:hAnsi="Liberation Sans" w:eastAsia="Liberation Sans"/>
              <w:color w:val="5E6C7A"/>
              <w:sz w:val="16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734"/>
      <w:gridCol w:w="2578"/>
    </w:tblGrid>
    <w:tr>
      <w:tc>
        <w:tcPr>
          <w:tcW w:type="dxa" w:w="5156"/>
          <w:tcBorders>
            <w:top w:sz="4" w:val="single" w:color="D7E0E8"/>
          </w:tcBorders>
          <w:tcMar>
            <w:top w:w="50" w:type="dxa"/>
            <w:start w:w="0" w:type="dxa"/>
            <w:bottom w:w="0" w:type="dxa"/>
            <w:end w:w="0" w:type="dxa"/>
          </w:tcMar>
        </w:tcPr>
        <w:p>
          <w:r>
            <w:rPr>
              <w:rFonts w:ascii="Liberation Sans" w:hAnsi="Liberation Sans" w:eastAsia="Liberation Sans"/>
              <w:color w:val="5E6C7A"/>
              <w:sz w:val="16"/>
            </w:rPr>
            <w:t>BILLS - analiza konkurencji | Materiał roboczy</w:t>
          </w:r>
        </w:p>
      </w:tc>
      <w:tc>
        <w:tcPr>
          <w:tcW w:type="dxa" w:w="5156"/>
          <w:tcBorders>
            <w:top w:sz="4" w:val="single" w:color="D7E0E8"/>
          </w:tcBorders>
          <w:tcMar>
            <w:top w:w="5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Liberation Sans" w:hAnsi="Liberation Sans" w:eastAsia="Liberation Sans"/>
              <w:color w:val="5E6C7A"/>
              <w:sz w:val="16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4" w:color="D7E0E8"/>
      </w:pBdr>
    </w:pPr>
    <w:r>
      <w:rPr>
        <w:rFonts w:ascii="Liberation Sans" w:hAnsi="Liberation Sans" w:eastAsia="Liberation Sans"/>
        <w:color w:val="5E6C7A"/>
        <w:sz w:val="16"/>
      </w:rPr>
      <w:t>Benchmark e-commerce Powermatic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4" w:color="D7E0E8"/>
      </w:pBdr>
    </w:pPr>
    <w:r>
      <w:rPr>
        <w:rFonts w:ascii="Liberation Sans" w:hAnsi="Liberation Sans" w:eastAsia="Liberation Sans"/>
        <w:color w:val="5E6C7A"/>
        <w:sz w:val="16"/>
      </w:rPr>
      <w:t>Benchmark e-commerce Powermatic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4" w:color="D7E0E8"/>
      </w:pBdr>
    </w:pPr>
    <w:r>
      <w:rPr>
        <w:rFonts w:ascii="Liberation Sans" w:hAnsi="Liberation Sans" w:eastAsia="Liberation Sans"/>
        <w:color w:val="5E6C7A"/>
        <w:sz w:val="16"/>
      </w:rPr>
      <w:t>Benchmark e-commerce Powermatic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iberation Sans" w:hAnsi="Liberation Sans"/>
      <w:color w:val="26344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yperlink" Target="https://powermatic.store" TargetMode="External"/><Relationship Id="rId16" Type="http://schemas.openxmlformats.org/officeDocument/2006/relationships/hyperlink" Target="https://powermatic.eu" TargetMode="External"/><Relationship Id="rId17" Type="http://schemas.openxmlformats.org/officeDocument/2006/relationships/hyperlink" Target="https://primonet.ro" TargetMode="External"/><Relationship Id="rId18" Type="http://schemas.openxmlformats.org/officeDocument/2006/relationships/hyperlink" Target="https://kyset.com.ua" TargetMode="External"/><Relationship Id="rId19" Type="http://schemas.openxmlformats.org/officeDocument/2006/relationships/hyperlink" Target="https://topgilza.com.ua" TargetMode="External"/><Relationship Id="rId20" Type="http://schemas.openxmlformats.org/officeDocument/2006/relationships/hyperlink" Target="https://all24.at" TargetMode="External"/><Relationship Id="rId21" Type="http://schemas.openxmlformats.org/officeDocument/2006/relationships/hyperlink" Target="https://skleptytoniowy.pl" TargetMode="External"/><Relationship Id="rId22" Type="http://schemas.openxmlformats.org/officeDocument/2006/relationships/hyperlink" Target="https://powermatic-stopfmaschine.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Benchmark e-commerce Powermatic - raport poprawiony</dc:title>
  <dc:subject>Analiza konkurencji, B2B i architektury e-commerce</dc:subject>
  <dc:creator>BILLS / opracowanie redakcyjne</dc:creator>
  <cp:keywords>Powermatic, e-commerce, B2B, benchmark, WooCommerce, IdoSell, Magento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