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b/>
          <w:bCs/>
          <w:color w:val="2F5FD0"/>
          <w:sz w:val="64"/>
          <w:szCs w:val="64"/>
        </w:rPr>
        <w:t xml:space="preserve">RICORA</w:t>
      </w:r>
    </w:p>
    <w:p>
      <w:pPr>
        <w:spacing w:after="200"/>
      </w:pPr>
      <w:r>
        <w:rPr>
          <w:b/>
          <w:bCs/>
          <w:color w:val="1C2333"/>
          <w:sz w:val="44"/>
          <w:szCs w:val="44"/>
        </w:rPr>
        <w:t xml:space="preserve">De conforme a nativo en RiC</w:t>
      </w:r>
    </w:p>
    <w:p>
      <w:pPr>
        <w:spacing w:after="600"/>
      </w:pPr>
      <w:r>
        <w:rPr>
          <w:color w:val="5B6477"/>
          <w:sz w:val="30"/>
          <w:szCs w:val="30"/>
        </w:rPr>
        <w:t xml:space="preserve">Lo que le falta al sistema y qué agregarle</w:t>
      </w:r>
    </w:p>
    <w:p>
      <w:pPr>
        <w:spacing w:after="120" w:line="276"/>
      </w:pPr>
      <w:r>
        <w:rPr>
          <w:b/>
          <w:bCs/>
        </w:rPr>
        <w:t xml:space="preserve">Fecha: </w:t>
      </w:r>
      <w:r>
        <w:t xml:space="preserve">3 de octubre de 2026</w:t>
      </w:r>
    </w:p>
    <w:p>
      <w:pPr>
        <w:spacing w:after="120" w:line="276"/>
      </w:pPr>
      <w:r>
        <w:rPr>
          <w:b/>
          <w:bCs/>
        </w:rPr>
        <w:t xml:space="preserve">Referencias normativas: </w:t>
      </w:r>
      <w:r>
        <w:t xml:space="preserve">RiC-CM 1.0 y RiC-O 1.1 (Consejo Internacional de Archivos), ISAD(G), ISAAR(CPF), Ley 1712 de 2014.</w:t>
      </w:r>
    </w:p>
    <w:p>
      <w:pPr>
        <w:spacing w:after="120" w:line="276"/>
      </w:pPr>
      <w:r>
        <w:rPr>
          <w:b/>
          <w:bCs/>
        </w:rPr>
        <w:t xml:space="preserve">Base de la medición: </w:t>
      </w:r>
      <w:r>
        <w:t xml:space="preserve">la batería automática del sistema (486 pruebas) y el archivo oficial de la ontología RiC-O 1.1.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i/>
          <w:iCs/>
        </w:rPr>
        <w:t xml:space="preserve">Si el índice aparece vacío, actualícelo en Word: clic derecho sobre él → Actualizar campos.</w:t>
      </w:r>
    </w:p>
    <w:p>
      <w:r>
        <w:br w:type="page"/>
      </w:r>
    </w:p>
    <w:p>
      <w:pPr>
        <w:pStyle w:val="Heading1"/>
      </w:pPr>
      <w:r>
        <w:t xml:space="preserve">1. Respuesta corta</w:t>
      </w:r>
    </w:p>
    <w:p>
      <w:pPr>
        <w:spacing w:after="120" w:line="276"/>
      </w:pPr>
      <w:r>
        <w:t xml:space="preserve">RICORA </w:t>
      </w:r>
      <w:r>
        <w:rPr>
          <w:b/>
          <w:bCs/>
        </w:rPr>
        <w:t xml:space="preserve">produce RiC conforme</w:t>
      </w:r>
      <w:r>
        <w:t xml:space="preserve">: todo lo que exporta existe en la ontología oficial, se valida contra el OWL y contra un perfil SHACL antes de salir, y cada descripción tiene una URI propia. Pero </w:t>
      </w:r>
      <w:r>
        <w:rPr>
          <w:b/>
          <w:bCs/>
        </w:rPr>
        <w:t xml:space="preserve">todavía no es nativo en RiC</w:t>
      </w:r>
      <w:r>
        <w:t xml:space="preserve">: por dentro sigue organizado como ISAD(G), por fondos y jerarquías, y el grafo RiC es una vista que se calcula al exportar.</w:t>
      </w:r>
    </w:p>
    <w:p>
      <w:pPr>
        <w:spacing w:after="120" w:line="276"/>
      </w:pPr>
      <w:r>
        <w:t xml:space="preserve">Las tres diferencias de fondo son: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recibe RiC, solo lo emite</w:t>
      </w:r>
      <w:r>
        <w:t xml:space="preserve"> (N1).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fondo parte todo el sistema</w:t>
      </w:r>
      <w:r>
        <w:t xml:space="preserve">: agentes, permisos y exportación (N2).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grafo no existe como tal</w:t>
      </w:r>
      <w:r>
        <w:t xml:space="preserve">: se genera al vuelo, fondo por fondo (N3).</w:t>
      </w:r>
    </w:p>
    <w:p>
      <w:pPr>
        <w:spacing w:after="120" w:line="276"/>
      </w:pPr>
      <w:r>
        <w:t xml:space="preserve">El resto (atributos, eventos, instrumentos, motor) es completar el modelo dentro de la arquitectura actual, y se puede hacer por partes.</w:t>
      </w:r>
    </w:p>
    <w:p>
      <w:pPr>
        <w:pStyle w:val="Heading1"/>
      </w:pPr>
      <w:r>
        <w:t xml:space="preserve">2. Qué significa «nativo en RiC»</w:t>
      </w:r>
    </w:p>
    <w:p>
      <w:pPr>
        <w:spacing w:after="120" w:line="276"/>
      </w:pPr>
      <w:r>
        <w:t xml:space="preserve">Para que la afirmación se pueda verificar, este documento usa siete criterios. Un sistema es nativo en RiC cuando: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930"/>
        <w:gridCol w:w="3930"/>
      </w:tblGrid>
      <w:tr>
        <w:trPr>
          <w:tblHeader/>
        </w:trP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#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Criterio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Estado en RICORA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Sus entidades (recursos, agentes, actividades, reglas, lugares, fechas) existen por sí mismas, no colgadas de un fondo.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Parcial: existen como entidades, pero cada una pertenece a un fondo.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Las relaciones son datos de primer nivel, con fechas, rol, fuente y certeza.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Cumplido (desde el cierre de las brechas 1 y 2).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Admite procedencia múltiple: un agente en muchos fondos; un documento con varios productores.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No: una autoridad por fondo.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Intercambia RiC en las dos direcciones.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No: solo exporta.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Permite consultar el grafo completo del acervo.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No: SPARQL por fondo y en memoria.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Cubre el modelo conceptual (entidades y atributos de RiC-CM).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Alto en entidades, 29 de 42 atributos.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 historia del documento y su descripción también son RiC (actividades, eventos, instrumentos).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Parcial: está en PREMIS y en la auditoría, no en el grafo.</w:t>
            </w:r>
          </w:p>
        </w:tc>
      </w:tr>
    </w:tbl>
    <w:p>
      <w:pPr>
        <w:pStyle w:val="Heading1"/>
      </w:pPr>
      <w:r>
        <w:t xml:space="preserve">3. Dónde está hoy: cifras medidas</w:t>
      </w:r>
    </w:p>
    <w:p>
      <w:pPr>
        <w:spacing w:after="120" w:line="276"/>
      </w:pPr>
      <w:r>
        <w:t xml:space="preserve">Términos de RiC-O 1.1 que salen de verdad en las exportaciones, medidos sobre la batería completa, antes y después de cerrar las brechas 1, 2, 3 y 8 de la auditoría de especialización (3 de octubre de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300"/>
        <w:gridCol w:w="1300"/>
        <w:gridCol w:w="3400"/>
      </w:tblGrid>
      <w:tr>
        <w:trPr>
          <w:tblHeader/>
        </w:trP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Medida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Antes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Ahora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Total en RiC-O 1.1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Clases usadas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Clases de relación (rico:*Relation)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49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Propiedades de dato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Propiedades de objeto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53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480 (muchas son inversas o variantes)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Atributos de RiC-CM 1.0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42 citados por el OWL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Términos fuera de la ontología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120"/>
      </w:pPr>
      <w:r>
        <w:rPr>
          <w:i/>
          <w:iCs/>
        </w:rPr>
        <w:t xml:space="preserve">La cifra es un piso: lo que el sistema admite pero ninguna prueba ejerce no se cuenta. No hace falta llegar al 100 % de las propiedades de objeto; la mayoría son inversas de las que ya se usan.</w:t>
      </w:r>
    </w:p>
    <w:p>
      <w:pPr>
        <w:pStyle w:val="Heading3"/>
      </w:pPr>
      <w:r>
        <w:t xml:space="preserve">Dos aclaraciones que corrigen diagnósticos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3437F"/>
          <w:sz w:val="20"/>
          <w:szCs w:val="20"/>
        </w:rPr>
        <w:t xml:space="preserve">SingleDate</w:t>
      </w:r>
      <w:r>
        <w:t xml:space="preserve">,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DateRange</w:t>
      </w:r>
      <w:r>
        <w:t xml:space="preserve"> y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DateSet</w:t>
      </w:r>
      <w:r>
        <w:t xml:space="preserve"> ya no existen en RiC-O 1.1: se retiraron el 22 de septiembre de 2023. Una fecha es una sola clase,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rico:Date</w:t>
      </w:r>
      <w:r>
        <w:t xml:space="preserve">, tipificada con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rico:DateType</w:t>
      </w:r>
      <w:r>
        <w:t xml:space="preserve">. RICORA ya lo hace.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RiC-CM 1.0 no tiene entidades E19 a E21: la numeración salta de E18 (Fecha) a E22 (Lugar). La cobertura de entidades se cuenta sobre 19.</w:t>
      </w:r>
    </w:p>
    <w:p>
      <w:pPr>
        <w:pStyle w:val="Heading1"/>
      </w:pPr>
      <w:r>
        <w:t xml:space="preserve">4. Los atributos de RiC-CM que faltan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760"/>
        <w:gridCol w:w="2400"/>
      </w:tblGrid>
      <w:tr>
        <w:trPr>
          <w:tblHeader/>
        </w:trP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Atributo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Propiedad RiC-O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Qué es en la práctica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Dónde iría en RICORA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A04 Carrier Extent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CarrierExtent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Medidas y número de unidades físicas del soporte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Original físico (instanciación)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A07 Classification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Clasificación según un esquema (cuadro de clasificación)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Descripción, desde la TRD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A10 Content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hasContentOfType → ContentType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Texto, imagen, mapa, sonido…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 y parte documental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A12 Corporate Body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hasOrHadCorporateBodyType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Alcaldía, notaría, junta, empresa…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del agente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A15 Demographic Group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hasOrHadDemographicGroup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Grupo demográfico de una persona o grupo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del agente (con cuidado: dato sensible)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A18 Event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hasEventType → EventType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Creación, reforma, traslado, supresión…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Hitos de los agentes (hoy texto)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A20 Family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hasFamilyType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Clan, linaje, familia nuclear…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de familia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A24 Integrity Note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integrityNote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Completitud intelectual: «faltan los folios 12 a 15»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Descripción (no es la fijeza)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A27 Location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location (de Place)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Dirección o delimitación de un lugar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ampliada del lugar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A30 Occupation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hasOrHadOccupationOfType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Oficio o profesión de una persona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de persona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A33 Production Technique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hasProductionTechniqueType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Manuscrito, mecanografiado, impreso, digitalizado…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Instanciación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A37 Representation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hasRepresentationType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Analógica, digital nativa, digitalizada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Instanciación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A39 State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hasRecordState → RecordState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Original, copia, borrador (tradición documental)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 (no el estado de la ficha)</w:t>
            </w:r>
          </w:p>
        </w:tc>
      </w:tr>
    </w:tbl>
    <w:p>
      <w:pPr>
        <w:pStyle w:val="Heading1"/>
      </w:pPr>
      <w:r>
        <w:t xml:space="preserve">5. Brechas y qué agregar</w:t>
      </w:r>
    </w:p>
    <w:p>
      <w:pPr>
        <w:spacing w:after="120" w:line="276"/>
      </w:pPr>
      <w:r>
        <w:t xml:space="preserve">Cada brecha dice qué falta, por qué importa en RiC, qué agregarle al sistema y cómo comprobar que quedó resuelta con una prueba automática, como en los cierres anteriores.</w:t>
      </w:r>
    </w:p>
    <w:p>
      <w:pPr>
        <w:pStyle w:val="Heading2"/>
      </w:pPr>
      <w:r>
        <w:t xml:space="preserve">N1 · Recibir RiC, no solo emitirlo (importación de RiC-O, EAD3 y EAC-CPF)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 (3–4 bloques)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RICORA exporta RiC-O conforme, pero no importa nada. Un grafo RiC de otra institución, o una exportación de RICORA de otro servidor, no se puede cargar. El sistema es un callejón de salida.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Un sistema especializado en RiC intercambia en las dos direcciones. Si el ida y vuelta no funciona, la conformidad de la exportación es una garantía a medias: nadie comprueba que lo exportado se pueda volver a leer.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servicio de importación que lea Turtle o JSON-LD, valide contra el OWL y el perfil SHACL, y rechace lo que no pase, con el informe de por qué.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mapeo inverso a partir del mapeo único (app/servicios/ric_o.py): cada clase y propiedad RiC-O, a su tabla y su campo.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Reconciliación con el vocabulario del fondo: por identificador externo (Wikidata, VIAF), por owl:sameAs y por parecido de nombre, con las mismas sugerencias de fusión que ya existen.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Modo de ensayo (dry-run): un informe de qué se crearía, qué se reutilizaría y qué se descartaría, antes de escribir nada.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Procedencia de lo importado: «importado de &lt;fuente&gt; el &lt;fecha&gt;», visible en la ficha y en la auditoría.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Después, EAD3 y EAC-CPF de entrada, con los mismos esquemas XSD que ya validan la salida.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Exportar un fondo, importarlo en una base vacía y volver a exportarlo produce un grafo isomorfo al primero (prueba automática).</w:t>
      </w:r>
    </w:p>
    <w:p>
      <w:pPr>
        <w:pStyle w:val="Heading2"/>
      </w:pPr>
      <w:r>
        <w:t xml:space="preserve">N2 · Agentes y procedencia compartidos entre fondos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 (3 bloques; toca la arquitectura)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Cada fondo tiene su propio vocabulario (decisión VOC-05). La misma alcaldía, la misma persona o el mismo cargo se describen una vez por fondo, y solo owl:sameAs los une en el RDF.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RiC nace para la procedencia múltiple: un agente actúa en muchos fondos y un documento puede tener varios productores. Partir el mundo por fondos es la lógica de ISAD(G), no la de RiC.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vocabulario institucional: autoridades de la institución, reutilizables por todos sus fondos, con permisos por fondo para enriquecerlas.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Migración de los duplicados existentes con la fusión que ya conserva identificadores y redirige las URI.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Exportación de un fondo que incluya los agentes institucionales que cita, con una sola URI por agente.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Reglas de acceso (Ley 1712) que sigan funcionando cuando un agente aparece en un fondo público y en uno reservado.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 mismo agente citado desde dos fondos tiene una sola URI, y ninguna exportación revela lo reservado de un fondo a través del agente compartido.</w:t>
      </w:r>
    </w:p>
    <w:p>
      <w:pPr>
        <w:pStyle w:val="Heading2"/>
      </w:pPr>
      <w:r>
        <w:t xml:space="preserve">N3 · Grafo persistente y consulta entre fondos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Media-alta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Medio-alto (2 bloques)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El grafo RiC se genera al vuelo desde PostgreSQL, fondo por fondo. El SPARQL corre en memoria sobre un solo fondo, con límites de tiempo y resultados.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La promesa de RiC es la navegación por relaciones a través de todo el acervo: «todo lo que produjo este cargo en cualquier fondo», «quién ocupó este cargo y qué firmó». Sin un grafo persistente, esa pregunta no tiene dónde hacerse.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 almacén de tripletas gratuito (Oxigraph, de código abierto) con un grafo con nombre por fondo.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Sincronización al publicar, corregir o fusionar (la exportación ya es la fuente única), con una tarea que reconstruye todo y compara.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 punto SPARQL institucional que aplique el mismo filtro de la Ley 1712 que ya usan los datos abiertos.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Una consulta SPARQL entre dos fondos responde en menos de 2 segundos y nunca devuelve una descripción reservada.</w:t>
      </w:r>
    </w:p>
    <w:p>
      <w:pPr>
        <w:pStyle w:val="Heading2"/>
      </w:pPr>
      <w:r>
        <w:t xml:space="preserve">N4 · Los 13 atributos de RiC-CM que faltan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Medio (2 bloques; casi todo es un vocabulario SKOS más un campo)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El OWL de RiC-O 1.1 remite a 42 atributos (A01 a A45; no cita A06, A14 ni A16). RICORA cubre 29. Los 13 que faltan se listan en la tabla de la sección 4.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Son los que permiten clasificar y filtrar sin texto libre: qué tipo de entidad es, qué tipo de evento, si un documento es original o copia, si un expediente está completo.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Un vocabulario SKOS por fondo para cada tipología, editable como los que ya existen (formas documentales, tipos de actividad).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El campo en el formulario correspondiente, el mapeo en ric_o.py, la forma SHACL y una prueba por atributo.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Precaución: dos de ellos tienen trampa. «Location» (A27) es una propiedad de Place, no del documento, y «State» (A39) es el estado de producción del documento (original, copia, borrador), no el de la ficha.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verificar_contra_owl() sin problemas y cobertura de atributos 42/42 en la prueba de cobertura.</w:t>
      </w:r>
    </w:p>
    <w:p>
      <w:pPr>
        <w:pStyle w:val="Heading2"/>
      </w:pPr>
      <w:r>
        <w:t xml:space="preserve">N5 · El ciclo de vida como Actividades y Eventos 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Medio (1–2 bloques)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Las transferencias (lotes), las eliminaciones por TRD, las migraciones y las acumulaciones existen en el sistema, pero salen en RiC solo como acciones técnicas de preservación (PREMIS) o no salen.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En RiC, la historia del documento es un conjunto de actividades con agentes, fechas y lugares. Una transferencia primaria entre el archivo de gestión y el central es exactamente eso, y hoy no se ve en el grafo.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Cada lote de transferencia como rico:Activity, con remitente, receptor, fecha, documentos afectados (rico:affectsOrAffected) y su acta como documento que la registra.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La disposición final (conservación, selección, eliminación) como actividad regulada por la regla de retención (rico:regulatesOrRegulated).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rico:hasAccumulationDate para los fondos y series acumulados.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Una consulta al grafo responde «quién transfirió esta serie, cuándo y con qué acta» sin leer la base.</w:t>
      </w:r>
    </w:p>
    <w:p>
      <w:pPr>
        <w:pStyle w:val="Heading2"/>
      </w:pPr>
      <w:r>
        <w:t xml:space="preserve">N6 · Los instrumentos de descripción como recursos documentales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Bajo-medio (1 bloque)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El FUID, la guía y los inventarios se generan, pero en RiC no existen: nada dice que «el inventario de 2026 describe la serie X».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En RiC, la descripción también es un recurso documental con autor y fecha (rico:describesOrDescribed). Es la forma de dejar constancia de qué instrumento estaba vigente y de quién lo hizo.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Cada instrumento generado y firmado como rico:Record, con su forma documental («inventario documental», «guía»), su autor, su fecha y la relación describesOrDescribed hacia lo que describe.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Sus versiones sucesivas enlazadas con precedesOrPreceded.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El grafo responde «qué instrumento describía este expediente en tal fecha».</w:t>
      </w:r>
    </w:p>
    <w:p>
      <w:pPr>
        <w:pStyle w:val="Heading2"/>
      </w:pPr>
      <w:r>
        <w:t xml:space="preserve">N7 · Un documento en varias agrupaciones con su propio orden (rico:Proxy)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 (½ bloque)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La inclusión adicional (CM-21) ya permite que un documento esté en otra agrupación, pero no con una posición propia dentro de ella.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rico:Proxy representa el documento «tal como está» dentro de otra agrupación: su orden, su número de folio en esa unidad.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Un nodo Proxy por cada inclusión adicional, con su secuencia (rankInSequence).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 documento en dos expedientes tiene un orden distinto en cada uno, y los dos se exportan.</w:t>
      </w:r>
    </w:p>
    <w:p>
      <w:pPr>
        <w:pStyle w:val="Heading2"/>
      </w:pPr>
      <w:r>
        <w:t xml:space="preserve">N8 · El motor de análisis, consciente de 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Medio (1 bloque más la evaluación)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El motor propone productor, remitente, destinatario, mencionados, lugares, fechas y actividades. No propone autor, acumulador, eventos, tipologías ni la certeza que RiC ahora exporta.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Si la tesis evalúa la descripción asistida, el motor debe proponer lo que el modelo RiC del sistema ya sabe guardar; si no, la evaluación mide un subconjunto.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Roles autor y acumulador en las instrucciones y en la validación de la propuesta, con el dominio de RiC-O (autor: solo persona, grupo o cargo).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Propuesta de tipologías (A12, A18, A30) cuando se agreguen (N4).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Una nueva versión etiquetada de las instrucciones y su evaluación ciega en el módulo de evaluación.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La evaluación ciega reporta precisión y exhaustividad por rol, incluidos autor y acumulador.</w:t>
      </w:r>
    </w:p>
    <w:p>
      <w:pPr>
        <w:pStyle w:val="Heading2"/>
      </w:pPr>
      <w:r>
        <w:t xml:space="preserve">N9 · Calendario declarado en la fecha expresada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Una fecha en calendario juliano se omite y se cuenta como no exportable.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La definición de rico:expressedDate pide incluir el calendario usado para que la fecha se entienda.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Exportar la fecha con su calendario en la expresión, por ejemplo «8 de marzo de 1548 (calendario juliano)», sin forma normalizada gregoriana inventada.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Ninguna fecha omitida por su calendario en el reporte de conformidad.</w:t>
      </w:r>
    </w:p>
    <w:p>
      <w:pPr>
        <w:pStyle w:val="Heading2"/>
      </w:pPr>
      <w:r>
        <w:t xml:space="preserve">N10 · Identificadores persistentes y publicación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 (decisión de la autora)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 en código; depende de infraestructura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Las URI existen y se resuelven, pero la publicación sin sesión está apagada (decisión INS-01) y no hay dominio ni HTTPS definitivos.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Un grafo RiC se vuelve útil cuando otros pueden enlazarlo. Una URI que cambia al mudarse de servidor rompe todos los enlaces.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Dominio propio con HTTPS y la base de URI fijada (el sistema ya exige ambas cosas antes de publicar).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Opcional: identificadores ARK, sin costo, para las descripciones publicadas.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Encender los datos abiertos solo para lo público. No cargar documentos con reserva legal mientras no haya HTTPS.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Una URI publicada sigue resolviendo después de un cambio de servidor.</w:t>
      </w:r>
    </w:p>
    <w:p>
      <w:pPr>
        <w:pStyle w:val="Heading1"/>
      </w:pPr>
      <w:r>
        <w:t xml:space="preserve">6. Hoja de ruta sugerida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3760"/>
        <w:gridCol w:w="1600"/>
      </w:tblGrid>
      <w:tr>
        <w:trPr>
          <w:tblHeader/>
        </w:trP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Fase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Brechas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Qué se gana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1 · Completar el modelo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N4, N9, N7, N6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Cobertura de atributos 42/42; instrumentos visibles en el grafo. Sin tocar la arquitectura.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3–4 bloques</w:t>
            </w:r>
          </w:p>
        </w:tc>
      </w:tr>
      <w:t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 · Historia y motor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N5, N8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 transferencia, la valoración y la descripción asistida quedan en RiC y se evalúan.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2–3 bloques</w:t>
            </w:r>
          </w:p>
        </w:tc>
      </w:tr>
      <w:t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3 · Arquitectura nativa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N2, N3, N1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Procedencia múltiple, grafo del acervo e intercambio en las dos direcciones.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7–9 bloques</w:t>
            </w:r>
          </w:p>
        </w:tc>
      </w:tr>
      <w:t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Infraestructura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N10 y la segunda copia en otro disco (PRE-07)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Publicación estable y preservación NDSA nivel 1 de almacenamiento.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Decisión de la autora</w:t>
            </w:r>
          </w:p>
        </w:tc>
      </w:tr>
    </w:tbl>
    <w:p>
      <w:pPr>
        <w:spacing w:before="120"/>
      </w:pPr>
      <w:r>
        <w:rPr>
          <w:i/>
          <w:iCs/>
        </w:rPr>
        <w:t xml:space="preserve">Un «bloque» es una entrega como las de la auditoría: código, pruebas, documentación y despliegue.</w:t>
      </w:r>
    </w:p>
    <w:p>
      <w:pPr>
        <w:pStyle w:val="Heading1"/>
      </w:pPr>
      <w:r>
        <w:t xml:space="preserve">7. Decisiones que le corresponden a la autora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660"/>
        <w:gridCol w:w="23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Decisión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Alternativas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Justificación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Riesgo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Alcance de la tesis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Afirmar «conforme con RiC» · afirmar «nativo en RiC»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«Conforme», con la fase 3 como trabajo futuro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 conforme está probado con evidencia automática; lo nativo exige la fase 3.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Si se afirma «nativo» sin la fase 3, un jurado lo puede refutar con la sección 2.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Vocabulario institucional (N2)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Una autoridad por fondo · autoridades de la institución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Es la condición de la procedencia múltiple.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Cambia permisos y exportación; requiere migrar duplicados.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Almacén de grafo (N3)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Seguir al vuelo · Oxigraph · Apache Jena Fuseki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Oxigraph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Gratuito, liviano para un servidor de 2 GB, SPARQL 1.1 completo.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Hay que mantenerlo sincronizado; la reconstrucción total lo mitiga.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Importación (N1)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 importar · solo RiC-O · RiC-O + EAD3/EAC-CPF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RiC-O primero, luego EAD3/EAC-CPF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El ida y vuelta RiC-O valida la propia exportación.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 reconciliación de agentes exige revisión humana.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Calendario (N9)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Omitir (hoy) · declararlo en la fecha expresada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Declararlo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 pide la definición de rico:expressedDate.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Ninguno conocido.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Datos abiertos (N10)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Apagados (hoy) · solo lo público con HTTPS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Encender cuando haya dominio y HTTPS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Sin enlaces externos, el grafo no se aprovecha.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Nunca antes de tener HTTPS.</w:t>
            </w:r>
          </w:p>
        </w:tc>
      </w:tr>
    </w:tbl>
    <w:p>
      <w:pPr>
        <w:pStyle w:val="Heading1"/>
      </w:pPr>
      <w:r>
        <w:t xml:space="preserve">8. Lo que ya está bien y no hay que tocar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Mapeo único RiC-O verificado contra el OWL oficial en cada ejecución de pruebas; ningún término inventado.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Validación OWL y SHACL antes de exportar, con informe de conformidad y de lo que se omite y por qué.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Relaciones como nodos rico:Relation con la clase más específica, su orientación oficial, su fuente, su certeza y su estado.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 EDTF tipificadas con rico:DateType; extensión con cantidad y unidad; calidad del OCR y autenticidad en el archivo.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Cargos (Position), mecanismos con versión (Mechanism) y mandatos como entidades.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Grafo navegable, URI resolubles, SPARQL, EAD3, EAC-CPF, IIIF y PREMIS enlazados a los mismos agentes.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de la Ley 1712 aplicado igual en el catálogo, la guía, los datos abiertos, el RDF y el paquete de consulta.</w:t>
      </w:r>
    </w:p>
    <w:p>
      <w:pPr>
        <w:pStyle w:val="Heading1"/>
      </w:pPr>
      <w:r>
        <w:t xml:space="preserve">Anexo · Método de medición</w:t>
      </w:r>
    </w:p>
    <w:p>
      <w:pPr>
        <w:spacing w:after="120" w:line="276"/>
      </w:pPr>
      <w:r>
        <w:t xml:space="preserve">Un complemento de la batería de pruebas intercepta cada exportación RiC-O y registra las clases (rdf:type) y las propiedades del espacio rico: que aparecen. Se comparan con las clases y propiedades declaradas en RiC-O_1-1.rdf. La correspondencia entre atributos de RiC-CM y propiedades se toma de la anotación rico:RiCCMCorrespondingComponent del mismo archivo, no de la memoria de quien escribe. La medición se repite cuando se quiera con la batería completa.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7"/>
        <w:sz w:val="16"/>
        <w:szCs w:val="16"/>
      </w:rPr>
      <w:t xml:space="preserve">RICORA · De conforme a nativo en RiC · página </w:t>
    </w:r>
    <w:r>
      <w:rPr>
        <w:color w:val="5B64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333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2F5FD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C23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5B647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RICORA: de conforme a nativo en RiC</dc:title>
  <dc:creator>RICORA</dc:creator>
  <cp:lastModifiedBy>Un-named</cp:lastModifiedBy>
  <cp:revision>1</cp:revision>
  <dcterms:created xsi:type="dcterms:W3CDTF">2026-10-03T20:38:22.592Z</dcterms:created>
  <dcterms:modified xsi:type="dcterms:W3CDTF">2026-10-03T20:38:22.593Z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