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2F5FD0"/>
          <w:sz w:val="64"/>
          <w:szCs w:val="64"/>
        </w:rPr>
        <w:t xml:space="preserve">RICORA</w:t>
      </w:r>
    </w:p>
    <w:p>
      <w:pPr>
        <w:spacing w:after="200"/>
      </w:pPr>
      <w:r>
        <w:rPr>
          <w:b/>
          <w:bCs/>
          <w:color w:val="1C2333"/>
          <w:sz w:val="44"/>
          <w:szCs w:val="44"/>
        </w:rPr>
        <w:t xml:space="preserve">RiC: investigación, diagnóstico y hoja de ruta</w:t>
      </w:r>
    </w:p>
    <w:p>
      <w:pPr>
        <w:spacing w:after="600"/>
      </w:pPr>
      <w:r>
        <w:rPr>
          <w:color w:val="5B6477"/>
          <w:sz w:val="26"/>
          <w:szCs w:val="26"/>
        </w:rPr>
        <w:t xml:space="preserve">Qué es RiC, el panorama en Colombia y el mundo, normas, IA para la conservación, qué le falta a RICORA, cómo agregarlo y qué documentos se necesitan</w:t>
      </w:r>
    </w:p>
    <w:p>
      <w:pPr>
        <w:spacing w:after="120" w:line="276"/>
      </w:pPr>
      <w:r>
        <w:rPr>
          <w:b/>
          <w:bCs/>
        </w:rPr>
        <w:t xml:space="preserve">Fecha: </w:t>
      </w:r>
      <w:r>
        <w:t xml:space="preserve">3 de octubre de 2026</w:t>
      </w:r>
    </w:p>
    <w:p>
      <w:pPr>
        <w:spacing w:after="120" w:line="276"/>
      </w:pPr>
      <w:r>
        <w:rPr>
          <w:b/>
          <w:bCs/>
        </w:rPr>
        <w:t xml:space="preserve">Referencias normativas: </w:t>
      </w:r>
      <w:r>
        <w:t xml:space="preserve">RiC-CM 1.0 y RiC-O 1.1 (Consejo Internacional de Archivos), ISAD(G), ISAAR(CPF), Ley 1712 de 2014.</w:t>
      </w:r>
    </w:p>
    <w:p>
      <w:pPr>
        <w:spacing w:after="120" w:line="276"/>
      </w:pPr>
      <w:r>
        <w:rPr>
          <w:b/>
          <w:bCs/>
        </w:rPr>
        <w:t xml:space="preserve">Base de la medición: </w:t>
      </w:r>
      <w:r>
        <w:t xml:space="preserve">la batería automática del sistema (486 pruebas) y el archivo oficial de la ontología RiC-O 1.1.</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120"/>
      </w:pPr>
      <w:r>
        <w:rPr>
          <w:i/>
          <w:iCs/>
        </w:rPr>
        <w:t xml:space="preserve">Si el índice aparece vacío, actualícelo en Word: clic derecho sobre él → Actualizar campos.</w:t>
      </w:r>
    </w:p>
    <w:p>
      <w:r>
        <w:br w:type="page"/>
      </w:r>
    </w:p>
    <w:p>
      <w:pPr>
        <w:pStyle w:val="Heading1"/>
      </w:pPr>
      <w:r>
        <w:t xml:space="preserve">Resumen ejecutivo</w:t>
      </w:r>
    </w:p>
    <w:p>
      <w:pPr>
        <w:spacing w:after="120" w:line="276"/>
      </w:pPr>
      <w:r>
        <w:rPr>
          <w:b/>
          <w:bCs/>
        </w:rPr>
        <w:t xml:space="preserve">Qué es RiC. </w:t>
      </w:r>
      <w:r>
        <w:t xml:space="preserve">Records in Contexts es la norma de descripción del Consejo Internacional de Archivos. Reemplaza y amplía ISAD(G), ISAAR(CPF), ISDF e ISDIAH con un solo modelo en red: documentos, agentes, funciones, normas, fechas y lugares unidos por relaciones explícitas. Tiene cuatro partes: fundamentos (RiC-FAD), modelo conceptual (RiC-CM 1.0), ontología (RiC-O 1.1) y guías de aplicación (RiC-AG, borrador v0.1 de octubre de 2025).</w:t>
      </w:r>
    </w:p>
    <w:p>
      <w:pPr>
        <w:spacing w:after="120" w:line="276"/>
      </w:pPr>
      <w:r>
        <w:rPr>
          <w:b/>
          <w:bCs/>
        </w:rPr>
        <w:t xml:space="preserve">Colombia. </w:t>
      </w:r>
      <w:r>
        <w:t xml:space="preserve">El Archivo General de la Nación presentó el «Esquema de Metadatos para Entidades Públicas Colombianas», una adaptación nacional de RiC-CM. En las fuentes consultadas no aparece un sistema colombiano que implemente RiC de forma nativa: lo usual son SGDEA basados en el Modelo de requisitos del AGN y, para descripción histórica, AtoM con ISAD(G).</w:t>
      </w:r>
    </w:p>
    <w:p>
      <w:pPr>
        <w:spacing w:after="120" w:line="276"/>
      </w:pPr>
      <w:r>
        <w:rPr>
          <w:b/>
          <w:bCs/>
        </w:rPr>
        <w:t xml:space="preserve">Dónde está RICORA. </w:t>
      </w:r>
      <w:r>
        <w:t xml:space="preserve">Describe y preserva. Produce RiC conforme —verificado contra la ontología oficial y un perfil SHACL— y preserva con OAIS, PREMIS, BagIt y validación de formatos. Todavía no es nativo en RiC: falta recibir RiC (importación), compartir agentes entre fondos y tener un grafo persistente.</w:t>
      </w:r>
    </w:p>
    <w:p>
      <w:pPr>
        <w:spacing w:after="120" w:line="276"/>
      </w:pPr>
      <w:r>
        <w:rPr>
          <w:b/>
          <w:bCs/>
        </w:rPr>
        <w:t xml:space="preserve">Qué tan innovador es. </w:t>
      </w:r>
      <w:r>
        <w:t xml:space="preserve">En el contexto colombiano, alto: une descripción RiC, preservación OAIS e IA con certeza registrada en RiC, alineado con la dirección del AGN. En el internacional, medio: ya existen sistemas nativos RiC (docuteam context, Suiza) y canales de IA para descripción (Vidya, Brasil). La novedad de RICORA está en la combinación y en la trazabilidad de la IA, no en usar RiC.</w:t>
      </w:r>
    </w:p>
    <w:p>
      <w:pPr>
        <w:spacing w:after="120" w:line="276"/>
      </w:pPr>
      <w:r>
        <w:rPr>
          <w:b/>
          <w:bCs/>
        </w:rPr>
        <w:t xml:space="preserve">Qué falta. </w:t>
      </w:r>
      <w:r>
        <w:t xml:space="preserve">En descripción: 13 atributos de RiC-CM, transferencias y disposición como actividades, instrumentos como documentos, importación, agentes institucionales y grafo persistente (partes E a G). En preservación: almacenamiento independiente, autoevaluación de repositorio confiable (ISO 16363), plan de preservación del SIC dentro del sistema, formatos audiovisuales y correo, validación de firmas digitales y detección de datos sensibles (parte D).</w:t>
      </w:r>
    </w:p>
    <w:p>
      <w:pPr>
        <w:spacing w:after="120" w:line="276"/>
      </w:pPr>
      <w:r>
        <w:rPr>
          <w:b/>
          <w:bCs/>
        </w:rPr>
        <w:t xml:space="preserve">Qué necesito de usted. </w:t>
      </w:r>
      <w:r>
        <w:t xml:space="preserve">Los instrumentos archivísticos de la entidad piloto (CCD, TRD, banco terminológico, tablas de control de acceso, inventarios, estructura orgánica histórica, SIC) y el esquema RiC del AGN. La parte H explica qué alimenta cada uno.</w:t>
      </w:r>
    </w:p>
    <w:p>
      <w:r>
        <w:br w:type="page"/>
      </w:r>
    </w:p>
    <w:p>
      <w:r>
        <w:br w:type="page"/>
      </w:r>
    </w:p>
    <w:p>
      <w:pPr>
        <w:spacing w:after="120" w:before="600"/>
      </w:pPr>
      <w:r>
        <w:rPr>
          <w:b/>
          <w:bCs/>
          <w:color w:val="2F5FD0"/>
          <w:sz w:val="40"/>
          <w:szCs w:val="40"/>
        </w:rPr>
        <w:t xml:space="preserve">Parte A · Entender RiC</w:t>
      </w:r>
    </w:p>
    <w:p>
      <w:pPr>
        <w:spacing w:after="400"/>
      </w:pPr>
      <w:r>
        <w:rPr>
          <w:color w:val="5B6477"/>
          <w:sz w:val="24"/>
          <w:szCs w:val="24"/>
        </w:rPr>
        <w:t xml:space="preserve">Qué es, para qué sirve, en qué se diferencia de la descripción tradicional y cómo se usa</w:t>
      </w:r>
    </w:p>
    <w:p>
      <w:pPr>
        <w:pStyle w:val="Heading1"/>
      </w:pPr>
      <w:r>
        <w:t xml:space="preserve">A1. Qué es RiC</w:t>
      </w:r>
    </w:p>
    <w:p>
      <w:pPr>
        <w:spacing w:after="120" w:line="276"/>
      </w:pPr>
      <w:r>
        <w:rPr>
          <w:b/>
          <w:bCs/>
        </w:rPr>
        <w:t xml:space="preserve">Records in Contexts (RiC)</w:t>
      </w:r>
      <w:r>
        <w:t xml:space="preserve"> —«Documentos en sus contextos»— es la norma de descripción archivística del </w:t>
      </w:r>
      <w:r>
        <w:rPr>
          <w:b/>
          <w:bCs/>
        </w:rPr>
        <w:t xml:space="preserve">Consejo Internacional de Archivos (ICA)</w:t>
      </w:r>
      <w:r>
        <w:t xml:space="preserve">, elaborada por su Grupo de Expertos en Descripción Archivística (EGAD), que la trabaja desde 2012.</w:t>
      </w:r>
    </w:p>
    <w:p>
      <w:pPr>
        <w:spacing w:after="120" w:line="276"/>
      </w:pPr>
      <w:r>
        <w:t xml:space="preserve">Su idea central cabe en una frase: </w:t>
      </w:r>
      <w:r>
        <w:rPr>
          <w:i/>
          <w:iCs/>
        </w:rPr>
        <w:t xml:space="preserve">un documento no se entiende solo, se entiende por sus relaciones</w:t>
      </w:r>
      <w:r>
        <w:t xml:space="preserve"> — quién lo produjo, en ejercicio de qué función, bajo qué norma, en qué lugar y fecha, con qué otros documentos se vincula y en qué soportes existe. RiC describe esas relaciones de forma explícita, como una red, en lugar de deducirlas de la posición del documento en un árbol.</w:t>
      </w:r>
    </w:p>
    <w:p>
      <w:pPr>
        <w:spacing w:after="120" w:line="276"/>
      </w:pPr>
      <w:r>
        <w:t xml:space="preserve">RiC integra en un solo modelo lo que antes estaba repartido en cuatro normas del ICA: ISAD(G) (descripción de documentos), ISAAR(CPF) (registros de autoridad de instituciones, personas y familias), ISDF (funciones) e ISDIAH (instituciones que custodian archivos).</w:t>
      </w:r>
    </w:p>
    <w:p>
      <w:pPr>
        <w:pStyle w:val="Heading1"/>
      </w:pPr>
      <w:r>
        <w:t xml:space="preserve">A2. Sus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rPr>
          <w:tblHeader/>
        </w:trPr>
        <w:tc>
          <w:tcPr>
            <w:tcW w:type="dxa" w:w="14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Parte</w:t>
            </w:r>
          </w:p>
        </w:tc>
        <w:tc>
          <w:tcPr>
            <w:tcW w:type="dxa" w:w="49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es</w:t>
            </w:r>
          </w:p>
        </w:tc>
        <w:tc>
          <w:tcPr>
            <w:tcW w:type="dxa" w:w="30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Estado verificado</w:t>
            </w:r>
          </w:p>
        </w:tc>
      </w:tr>
      <w:tr>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RiC-FAD</w:t>
            </w:r>
          </w:p>
        </w:tc>
        <w:tc>
          <w:tcPr>
            <w:tcW w:type="dxa" w:w="49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Fundamentos de la descripción archivística: los principios y el vocabulario sobre los que se construye el modelo.</w:t>
            </w:r>
          </w:p>
        </w:tc>
        <w:tc>
          <w:tcPr>
            <w:tcW w:type="dxa" w:w="3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Versión 1.0, publicada a finales de 2023 junto con RiC-CM y RiC-O.</w:t>
            </w:r>
          </w:p>
        </w:tc>
      </w:tr>
      <w:tr>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RiC-CM</w:t>
            </w:r>
          </w:p>
        </w:tc>
        <w:tc>
          <w:tcPr>
            <w:tcW w:type="dxa" w:w="49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Modelo conceptual: qué entidades existen (documento, agente, actividad…), qué atributos tienen y qué relaciones las unen. Es independiente de cualquier tecnología.</w:t>
            </w:r>
          </w:p>
        </w:tc>
        <w:tc>
          <w:tcPr>
            <w:tcW w:type="dxa" w:w="3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Versión 1.0, publicada por el EGAD el 30 de noviembre de 2023.</w:t>
            </w:r>
          </w:p>
        </w:tc>
      </w:tr>
      <w:tr>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RiC-O</w:t>
            </w:r>
          </w:p>
        </w:tc>
        <w:tc>
          <w:tcPr>
            <w:tcW w:type="dxa" w:w="49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Ontología: la traducción técnica del modelo al lenguaje de la web semántica (OWL/RDF), para que las máquinas lo procesen, se publique como datos enlazados y se consulte con SPARQL.</w:t>
            </w:r>
          </w:p>
        </w:tc>
        <w:tc>
          <w:tcPr>
            <w:tcW w:type="dxa" w:w="3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Versión 1.1 del 22 de mayo de 2025; el propio archivo se declara «tercera parte» del estándar y conforme con RiC-CM 1.0.</w:t>
            </w:r>
          </w:p>
        </w:tc>
      </w:tr>
      <w:tr>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RiC-AG</w:t>
            </w:r>
          </w:p>
        </w:tc>
        <w:tc>
          <w:tcPr>
            <w:tcW w:type="dxa" w:w="49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Guías de aplicación: orientación práctica para aplicar el modelo en instituciones concretas.</w:t>
            </w:r>
          </w:p>
        </w:tc>
        <w:tc>
          <w:tcPr>
            <w:tcW w:type="dxa" w:w="3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Primer borrador, v0.1, presentado el 29 de octubre de 2025 en la conferencia del ICA en Barcelona; abierto a comentarios.</w:t>
            </w:r>
          </w:p>
        </w:tc>
      </w:tr>
    </w:tbl>
    <w:p>
      <w:pPr>
        <w:spacing w:before="120"/>
      </w:pPr>
      <w:r>
        <w:rPr>
          <w:i/>
          <w:iCs/>
        </w:rPr>
        <w:t xml:space="preserve">RICORA usa RiC-CM 1.0 como modelo y RiC-O 1.1 como formato de exportación, verificado contra el archivo oficial en cada ejecución de pruebas.</w:t>
      </w:r>
    </w:p>
    <w:p>
      <w:pPr>
        <w:pStyle w:val="Heading2"/>
      </w:pPr>
      <w:r>
        <w:t xml:space="preserve">Las piezas del modelo</w:t>
      </w:r>
    </w:p>
    <w:p>
      <w:pPr>
        <w:spacing w:after="120" w:line="276"/>
      </w:pPr>
      <w:r>
        <w:rPr>
          <w:b/>
          <w:bCs/>
        </w:rPr>
        <w:t xml:space="preserve">Entidades</w:t>
      </w:r>
      <w:r>
        <w:t xml:space="preserve"> (las «cosas» que se describen). RiC-CM 1.0 tiene 19, numeradas de E01 a E22; la numeración salta de E18 a E22 porque las antiguas E19 a E21 (fecha simple, rango y conjunto) se retiraron. Con su etiqueta oficial en español: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800"/>
        <w:gridCol w:w="2460"/>
      </w:tblGrid>
      <w:tr>
        <w:trPr>
          <w:tblHeader/>
        </w:trPr>
        <w:tc>
          <w:tcPr>
            <w:tcW w:type="dxa" w:w="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Código</w:t>
            </w:r>
          </w:p>
        </w:tc>
        <w:tc>
          <w:tcPr>
            <w:tcW w:type="dxa" w:w="22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Entidad (etiqueta oficial)</w:t>
            </w:r>
          </w:p>
        </w:tc>
        <w:tc>
          <w:tcPr>
            <w:tcW w:type="dxa" w:w="38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es</w:t>
            </w:r>
          </w:p>
        </w:tc>
        <w:tc>
          <w:tcPr>
            <w:tcW w:type="dxa" w:w="24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En RICORA se llama</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E02</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Recurso documental</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Información producida o recibida y conservada por un agente en su actividad. Agrupa las tres siguientes.</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E03</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Agrupación documental</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Documentos agrupados por compartir atributos o relaciones: fondo, serie, expediente…</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Fondo, sección, serie, subserie, expediente</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E04</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Contenido de información fijado al menos una vez en un soporte.</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Unidad documental</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E05</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Componente documental</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Parte de un documento con contenido propio (un anexo, un sello).</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Parte documental</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E06</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Instanciación</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Cada inscripción del documento en un soporte: el original en papel, el PDF digitalizado, la copia PDF/A.</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Archivo / original físico</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E07</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Agente</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Quien actúa: persona, grupo, puesto o mecanismo.</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Agente</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E08–E11</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Persona · Grupo de agentes · Familia · Institución</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Los tipos de agente humano y colectivo.</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Persona · grupo · familia · entidad corporativa</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E12</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Puesto</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papel funcional de una persona dentro de un grupo (el «alcalde», no la persona que lo ocupa).</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Cargo</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E13</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Mecanismo</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 proceso o sistema que realiza una actividad (un programa de OCR, un motor de IA).</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Mecanismo (software)</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E14–E15</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Evento · Actividad</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Algo que ocurre; una actividad es lo que se hace con un propósito (una función, un trámite).</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Hito · actividad y tipo de actividad (función)</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E16–E17</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Regla · Norma</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Las condiciones que rigen a un agente o una actividad; la norma delega autoridad para actuar.</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Regla · mandato</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E18</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Fecha</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Información cronológica, con forma normalizada.</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Fecha (EDTF)</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E22</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Lugar</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Área geográfica con nombre.</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Lugar</w:t>
            </w:r>
          </w:p>
        </w:tc>
      </w:tr>
    </w:tbl>
    <w:p>
      <w:pPr>
        <w:spacing w:before="160"/>
      </w:pPr>
      <w:r>
        <w:rPr>
          <w:b/>
          <w:bCs/>
        </w:rPr>
        <w:t xml:space="preserve">Atributos</w:t>
      </w:r>
      <w:r>
        <w:t xml:space="preserve"> (las características de cada entidad): título, alcance y contenido, condiciones de acceso, historia, identificador, extensión… El OWL cita 42 (A01 a A45). Son el equivalente a los «elementos» de ISAD(G).</w:t>
      </w:r>
    </w:p>
    <w:p>
      <w:pPr>
        <w:spacing w:after="120" w:line="276"/>
      </w:pPr>
      <w:r>
        <w:rPr>
          <w:b/>
          <w:bCs/>
        </w:rPr>
        <w:t xml:space="preserve">Relaciones</w:t>
      </w:r>
      <w:r>
        <w:t xml:space="preserve"> (lo que une a las entidades): RiC-CM 1.0 define 86 códigos (RiC-R001 a RiC-R086). Cada una tiene nombre, dirección y puede llevar fechas, rol, fuente y certeza. Ejemplos: «tiene productor» (R027), «documenta» una actividad (R033), «ocupa o ocupó» un puesto, «incluye» (R024, la antigua jerarquía), «tiene instanciación» (R025), «fue migrado a» (R015).</w:t>
      </w:r>
    </w:p>
    <w:p>
      <w:pPr>
        <w:pStyle w:val="Heading1"/>
      </w:pPr>
      <w:r>
        <w:t xml:space="preserve">A3. Para qué sirve</w:t>
      </w:r>
    </w:p>
    <w:p>
      <w:pPr>
        <w:pStyle w:val="ListParagraph"/>
        <w:numPr>
          <w:ilvl w:val="0"/>
          <w:numId w:val="2"/>
        </w:numPr>
        <w:spacing w:after="60"/>
      </w:pPr>
      <w:r>
        <w:rPr>
          <w:b/>
          <w:bCs/>
        </w:rPr>
        <w:t xml:space="preserve">Contexto completo: </w:t>
      </w:r>
      <w:r>
        <w:t xml:space="preserve">describir no solo el documento sino la red que lo explica (quién, en qué función, bajo qué norma, cuándo, dónde).</w:t>
      </w:r>
    </w:p>
    <w:p>
      <w:pPr>
        <w:pStyle w:val="ListParagraph"/>
        <w:numPr>
          <w:ilvl w:val="0"/>
          <w:numId w:val="2"/>
        </w:numPr>
        <w:spacing w:after="60"/>
      </w:pPr>
      <w:r>
        <w:rPr>
          <w:b/>
          <w:bCs/>
        </w:rPr>
        <w:t xml:space="preserve">Procedencia múltiple: </w:t>
      </w:r>
      <w:r>
        <w:t xml:space="preserve">un documento puede tener varios productores, y un agente actúa en muchos fondos a lo largo del tiempo, con sus cambios de nombre, de estructura y de funciones.</w:t>
      </w:r>
    </w:p>
    <w:p>
      <w:pPr>
        <w:pStyle w:val="ListParagraph"/>
        <w:numPr>
          <w:ilvl w:val="0"/>
          <w:numId w:val="2"/>
        </w:numPr>
        <w:spacing w:after="60"/>
      </w:pPr>
      <w:r>
        <w:rPr>
          <w:b/>
          <w:bCs/>
        </w:rPr>
        <w:t xml:space="preserve">Describir una vez, reutilizar siempre: </w:t>
      </w:r>
      <w:r>
        <w:t xml:space="preserve">cada agente, función o lugar se describe una sola vez y se enlaza desde todos los documentos que lo involucran.</w:t>
      </w:r>
    </w:p>
    <w:p>
      <w:pPr>
        <w:pStyle w:val="ListParagraph"/>
        <w:numPr>
          <w:ilvl w:val="0"/>
          <w:numId w:val="2"/>
        </w:numPr>
        <w:spacing w:after="60"/>
      </w:pPr>
      <w:r>
        <w:rPr>
          <w:b/>
          <w:bCs/>
        </w:rPr>
        <w:t xml:space="preserve">Separar contenido y soporte: </w:t>
      </w:r>
      <w:r>
        <w:t xml:space="preserve">el documento (lo que dice) se distingue de cada una de sus instanciaciones (papel, digitalización, migración), lo que une la descripción con la preservación digital.</w:t>
      </w:r>
    </w:p>
    <w:p>
      <w:pPr>
        <w:pStyle w:val="ListParagraph"/>
        <w:numPr>
          <w:ilvl w:val="0"/>
          <w:numId w:val="2"/>
        </w:numPr>
        <w:spacing w:after="60"/>
      </w:pPr>
      <w:r>
        <w:rPr>
          <w:b/>
          <w:bCs/>
        </w:rPr>
        <w:t xml:space="preserve">Datos abiertos y enlazados: </w:t>
      </w:r>
      <w:r>
        <w:t xml:space="preserve">cada entidad tiene una URI; otros archivos, bibliotecas o Wikidata pueden enlazarla, y el acervo se consulta con SPARQL.</w:t>
      </w:r>
    </w:p>
    <w:p>
      <w:pPr>
        <w:pStyle w:val="ListParagraph"/>
        <w:numPr>
          <w:ilvl w:val="0"/>
          <w:numId w:val="2"/>
        </w:numPr>
        <w:spacing w:after="60"/>
      </w:pPr>
      <w:r>
        <w:rPr>
          <w:b/>
          <w:bCs/>
        </w:rPr>
        <w:t xml:space="preserve">Preguntas que la descripción tradicional no responde: </w:t>
      </w:r>
      <w:r>
        <w:t xml:space="preserve">«todo lo que firmó quien ocupó la alcaldía entre 1946 y 1950, en cualquier fondo», «qué documentos produjo esta función después de la reforma de 1960».</w:t>
      </w:r>
    </w:p>
    <w:p>
      <w:pPr>
        <w:pStyle w:val="Heading1"/>
      </w:pPr>
      <w:r>
        <w:t xml:space="preserve">A4. Diferencia con la descripción tradicional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Aspecto</w:t>
            </w:r>
          </w:p>
        </w:tc>
        <w:tc>
          <w:tcPr>
            <w:tcW w:type="dxa" w:w="38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Descripción tradicional (ISAD(G) y normas afines)</w:t>
            </w:r>
          </w:p>
        </w:tc>
        <w:tc>
          <w:tcPr>
            <w:tcW w:type="dxa" w:w="38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RiC</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Forma</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Árbol multinivel: fondo → sección → serie → expediente → unidad. Se describe de lo general a lo particular.</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Red (grafo) de entidades conectadas. La jerarquía sigue existiendo, pero es una relación más («incluye»).</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Centro</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fondo: una procedencia por descripción.</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Cada entidad tiene identidad propia; la procedencia puede ser múltiple.</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Agentes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Nombre del productor e historia institucional en texto, o en un registro ISAAR aparte, unido por el nombre.</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Entidades con relaciones tipadas y fechadas: productor, autor, remitente, ocupa un puesto, es subordinado de…</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Funciones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 otra norma (ISDF), o en notas.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Actividad y tipo de actividad, conectados a los documentos que las documentan y a los agentes que las ejercen.</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Contenido y soporte</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Mezclados en «volumen y soporte» (3.1.5).</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 por un lado, cada instanciación por otro.</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Fechas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Texto («c. 1948», «1940-1950»).</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Entidad Fecha con su expresión, su forma normalizada (EDTF) y su tipo.</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Relaciones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Implícitas en el árbol o en notas («véase también»).</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Explícitas: 86 tipos, con dirección, fechas, rol, fuente y certeza.</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Salida técnica</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Documentos XML (EAD, EAC-CPF), instrumentos impresos.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Datos enlazados RDF (RiC-O), URIs, SPARQL; el instrumento impreso se genera desde la red.</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Lo que NO cambia</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Los principios de procedencia y orden original.</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Se conservan: RiC no los elimina, los representa como relaciones explícitas y verificables.</w:t>
            </w:r>
          </w:p>
        </w:tc>
      </w:tr>
    </w:tbl>
    <w:p>
      <w:pPr>
        <w:pStyle w:val="Heading1"/>
      </w:pPr>
      <w:r>
        <w:t xml:space="preserve">A5. Cómo se usa: un ejemplo</w:t>
      </w:r>
    </w:p>
    <w:p>
      <w:pPr>
        <w:spacing w:after="120" w:line="276"/>
      </w:pPr>
      <w:r>
        <w:t xml:space="preserve">Un oficio de 1948 de la Alcaldía de Tunja sobre permisos de policía, descrito en RiC:</w:t>
      </w:r>
    </w:p>
    <w:p>
      <w:pPr>
        <w:shd w:fill="F3F5F9" w:color="auto" w:val="clear"/>
        <w:spacing w:after="0" w:line="240"/>
      </w:pPr>
      <w:r>
        <w:rPr>
          <w:rFonts w:ascii="Consolas" w:cs="Consolas" w:eastAsia="Consolas" w:hAnsi="Consolas"/>
          <w:color w:val="1C2333"/>
          <w:sz w:val="17"/>
          <w:szCs w:val="17"/>
        </w:rPr>
        <w:t xml:space="preserve">  [Alcaldía de Tunja] ──es productor de──▶ [Oficio 114]  (Documento)</w:t>
      </w:r>
    </w:p>
    <w:p>
      <w:pPr>
        <w:shd w:fill="F3F5F9" w:color="auto" w:val="clear"/>
        <w:spacing w:after="0" w:line="240"/>
      </w:pPr>
      <w:r>
        <w:rPr>
          <w:rFonts w:ascii="Consolas" w:cs="Consolas" w:eastAsia="Consolas" w:hAnsi="Consolas"/>
          <w:color w:val="1C2333"/>
          <w:sz w:val="17"/>
          <w:szCs w:val="17"/>
        </w:rPr>
        <w:t xml:space="preserve">        │                                     │</w:t>
      </w:r>
    </w:p>
    <w:p>
      <w:pPr>
        <w:shd w:fill="F3F5F9" w:color="auto" w:val="clear"/>
        <w:spacing w:after="0" w:line="240"/>
      </w:pPr>
      <w:r>
        <w:rPr>
          <w:rFonts w:ascii="Consolas" w:cs="Consolas" w:eastAsia="Consolas" w:hAnsi="Consolas"/>
          <w:color w:val="1C2333"/>
          <w:sz w:val="17"/>
          <w:szCs w:val="17"/>
        </w:rPr>
        <w:t xml:space="preserve">   existe en                           tiene instanciación</w:t>
      </w:r>
    </w:p>
    <w:p>
      <w:pPr>
        <w:shd w:fill="F3F5F9" w:color="auto" w:val="clear"/>
        <w:spacing w:after="0" w:line="240"/>
      </w:pPr>
      <w:r>
        <w:rPr>
          <w:rFonts w:ascii="Consolas" w:cs="Consolas" w:eastAsia="Consolas" w:hAnsi="Consolas"/>
          <w:color w:val="1C2333"/>
          <w:sz w:val="17"/>
          <w:szCs w:val="17"/>
        </w:rPr>
        <w:t xml:space="preserve">        ▼                                     ▼</w:t>
      </w:r>
    </w:p>
    <w:p>
      <w:pPr>
        <w:shd w:fill="F3F5F9" w:color="auto" w:val="clear"/>
        <w:spacing w:after="0" w:line="240"/>
      </w:pPr>
      <w:r>
        <w:rPr>
          <w:rFonts w:ascii="Consolas" w:cs="Consolas" w:eastAsia="Consolas" w:hAnsi="Consolas"/>
          <w:color w:val="1C2333"/>
          <w:sz w:val="17"/>
          <w:szCs w:val="17"/>
        </w:rPr>
        <w:t xml:space="preserve">  [Alcalde] (Puesto) ◀──ocupa (1946–1950)── [J. E. Gaitán] (Persona)</w:t>
      </w:r>
    </w:p>
    <w:p>
      <w:pPr>
        <w:shd w:fill="F3F5F9" w:color="auto" w:val="clear"/>
        <w:spacing w:after="0" w:line="240"/>
      </w:pPr>
      <w:r>
        <w:rPr>
          <w:rFonts w:ascii="Consolas" w:cs="Consolas" w:eastAsia="Consolas" w:hAnsi="Consolas"/>
          <w:color w:val="1C2333"/>
          <w:sz w:val="17"/>
          <w:szCs w:val="17"/>
        </w:rPr>
        <w:t xml:space="preserve">                                    [original en papel] · [PDF digitalizado] · [PDF/A]</w:t>
      </w:r>
    </w:p>
    <w:p>
      <w:pPr>
        <w:shd w:fill="F3F5F9" w:color="auto" w:val="clear"/>
        <w:spacing w:after="0" w:line="240"/>
      </w:pPr>
      <w:r>
        <w:rPr>
          <w:rFonts w:ascii="Consolas" w:cs="Consolas" w:eastAsia="Consolas" w:hAnsi="Consolas"/>
          <w:color w:val="1C2333"/>
          <w:sz w:val="17"/>
          <w:szCs w:val="17"/>
        </w:rPr>
        <w:t xml:space="preserve">  [Oficio 114] ──documenta──▶ [Expedición de permisos] (Actividad)</w:t>
      </w:r>
    </w:p>
    <w:p>
      <w:pPr>
        <w:shd w:fill="F3F5F9" w:color="auto" w:val="clear"/>
        <w:spacing w:after="0" w:line="240"/>
      </w:pPr>
      <w:r>
        <w:rPr>
          <w:rFonts w:ascii="Consolas" w:cs="Consolas" w:eastAsia="Consolas" w:hAnsi="Consolas"/>
          <w:color w:val="1C2333"/>
          <w:sz w:val="17"/>
          <w:szCs w:val="17"/>
        </w:rPr>
        <w:t xml:space="preserve">                                   └──es del tipo──▶ [Policía local] (función)</w:t>
      </w:r>
    </w:p>
    <w:p>
      <w:pPr>
        <w:shd w:fill="F3F5F9" w:color="auto" w:val="clear"/>
        <w:spacing w:after="0" w:line="240"/>
      </w:pPr>
      <w:r>
        <w:rPr>
          <w:rFonts w:ascii="Consolas" w:cs="Consolas" w:eastAsia="Consolas" w:hAnsi="Consolas"/>
          <w:color w:val="1C2333"/>
          <w:sz w:val="17"/>
          <w:szCs w:val="17"/>
        </w:rPr>
        <w:t xml:space="preserve">  [Acuerdo 3 de 1946] (Norma) ──regula──▶ [Expedición de permisos]</w:t>
      </w:r>
    </w:p>
    <w:p>
      <w:pPr>
        <w:shd w:fill="F3F5F9" w:color="auto" w:val="clear"/>
        <w:spacing w:after="0" w:line="240"/>
      </w:pPr>
      <w:r>
        <w:rPr>
          <w:rFonts w:ascii="Consolas" w:cs="Consolas" w:eastAsia="Consolas" w:hAnsi="Consolas"/>
          <w:color w:val="1C2333"/>
          <w:sz w:val="17"/>
          <w:szCs w:val="17"/>
        </w:rPr>
        <w:t xml:space="preserve">  [Oficio 114] ──fecha de creación──▶ [8 de marzo de 1948] (Fecha, EDTF 1948-03-08)</w:t>
      </w:r>
    </w:p>
    <w:p>
      <w:pPr>
        <w:shd w:fill="F3F5F9" w:color="auto" w:val="clear"/>
        <w:spacing w:after="0" w:line="240"/>
      </w:pPr>
      <w:r>
        <w:rPr>
          <w:rFonts w:ascii="Consolas" w:cs="Consolas" w:eastAsia="Consolas" w:hAnsi="Consolas"/>
          <w:color w:val="1C2333"/>
          <w:sz w:val="17"/>
          <w:szCs w:val="17"/>
        </w:rPr>
        <w:t xml:space="preserve">  [Expediente de permisos 1948] ──incluye──▶ [Oficio 114]</w:t>
      </w:r>
    </w:p>
    <w:p>
      <w:pPr>
        <w:spacing w:before="160"/>
      </w:pPr>
      <w:r>
        <w:t xml:space="preserve">Lo mismo, en RiC-O (formato Turtle), que es lo que el sistema exporta:</w:t>
      </w:r>
    </w:p>
    <w:p>
      <w:pPr>
        <w:shd w:fill="F3F5F9" w:color="auto" w:val="clear"/>
        <w:spacing w:after="0" w:line="240"/>
      </w:pPr>
      <w:r>
        <w:rPr>
          <w:rFonts w:ascii="Consolas" w:cs="Consolas" w:eastAsia="Consolas" w:hAnsi="Consolas"/>
          <w:color w:val="1C2333"/>
          <w:sz w:val="17"/>
          <w:szCs w:val="17"/>
        </w:rPr>
        <w:t xml:space="preserve">ricora:oficio-114  a rico:Record ;</w:t>
      </w:r>
    </w:p>
    <w:p>
      <w:pPr>
        <w:shd w:fill="F3F5F9" w:color="auto" w:val="clear"/>
        <w:spacing w:after="0" w:line="240"/>
      </w:pPr>
      <w:r>
        <w:rPr>
          <w:rFonts w:ascii="Consolas" w:cs="Consolas" w:eastAsia="Consolas" w:hAnsi="Consolas"/>
          <w:color w:val="1C2333"/>
          <w:sz w:val="17"/>
          <w:szCs w:val="17"/>
        </w:rPr>
        <w:t xml:space="preserve">    rico:title  "Oficio 114 sobre permisos de policía" ;</w:t>
      </w:r>
    </w:p>
    <w:p>
      <w:pPr>
        <w:shd w:fill="F3F5F9" w:color="auto" w:val="clear"/>
        <w:spacing w:after="0" w:line="240"/>
      </w:pPr>
      <w:r>
        <w:rPr>
          <w:rFonts w:ascii="Consolas" w:cs="Consolas" w:eastAsia="Consolas" w:hAnsi="Consolas"/>
          <w:color w:val="1C2333"/>
          <w:sz w:val="17"/>
          <w:szCs w:val="17"/>
        </w:rPr>
        <w:t xml:space="preserve">    rico:hasCreator  ricora:alcaldia-tunja ;</w:t>
      </w:r>
    </w:p>
    <w:p>
      <w:pPr>
        <w:shd w:fill="F3F5F9" w:color="auto" w:val="clear"/>
        <w:spacing w:after="0" w:line="240"/>
      </w:pPr>
      <w:r>
        <w:rPr>
          <w:rFonts w:ascii="Consolas" w:cs="Consolas" w:eastAsia="Consolas" w:hAnsi="Consolas"/>
          <w:color w:val="1C2333"/>
          <w:sz w:val="17"/>
          <w:szCs w:val="17"/>
        </w:rPr>
        <w:t xml:space="preserve">    rico:hasOrHadInstantiation  ricora:oficio-114-papel , ricora:oficio-114-pdfa ;</w:t>
      </w:r>
    </w:p>
    <w:p>
      <w:pPr>
        <w:shd w:fill="F3F5F9" w:color="auto" w:val="clear"/>
        <w:spacing w:after="0" w:line="240"/>
      </w:pPr>
      <w:r>
        <w:rPr>
          <w:rFonts w:ascii="Consolas" w:cs="Consolas" w:eastAsia="Consolas" w:hAnsi="Consolas"/>
          <w:color w:val="1C2333"/>
          <w:sz w:val="17"/>
          <w:szCs w:val="17"/>
        </w:rPr>
        <w:t xml:space="preserve">    rico:documents  ricora:expedicion-permisos .</w:t>
      </w:r>
    </w:p>
    <w:p>
      <w:pPr>
        <w:shd w:fill="F3F5F9" w:color="auto" w:val="clear"/>
        <w:spacing w:after="0" w:line="240"/>
      </w:pPr>
      <w:r>
        <w:rPr>
          <w:rFonts w:ascii="Consolas" w:cs="Consolas" w:eastAsia="Consolas" w:hAnsi="Consolas"/>
          <w:color w:val="1C2333"/>
          <w:sz w:val="17"/>
          <w:szCs w:val="17"/>
        </w:rPr>
        <w:t xml:space="preserve">ricora:alcaldia-tunja  a rico:CorporateBody ;  rico:name "Alcaldía de Tunja" .</w:t>
      </w:r>
    </w:p>
    <w:p>
      <w:pPr>
        <w:shd w:fill="F3F5F9" w:color="auto" w:val="clear"/>
        <w:spacing w:after="0" w:line="240"/>
      </w:pPr>
      <w:r>
        <w:rPr>
          <w:rFonts w:ascii="Consolas" w:cs="Consolas" w:eastAsia="Consolas" w:hAnsi="Consolas"/>
          <w:color w:val="1C2333"/>
          <w:sz w:val="17"/>
          <w:szCs w:val="17"/>
        </w:rPr>
        <w:t xml:space="preserve">ricora:gaitan  a rico:Person ;  rico:occupiesOrOccupied  ricora:alcalde .</w:t>
      </w:r>
    </w:p>
    <w:p>
      <w:pPr>
        <w:shd w:fill="F3F5F9" w:color="auto" w:val="clear"/>
        <w:spacing w:after="0" w:line="240"/>
      </w:pPr>
      <w:r>
        <w:rPr>
          <w:rFonts w:ascii="Consolas" w:cs="Consolas" w:eastAsia="Consolas" w:hAnsi="Consolas"/>
          <w:color w:val="1C2333"/>
          <w:sz w:val="17"/>
          <w:szCs w:val="17"/>
        </w:rPr>
        <w:t xml:space="preserve">ricora:expedicion-permisos  a rico:Activity ;  rico:hasActivityType  ricora:policia-local .</w:t>
      </w:r>
    </w:p>
    <w:p>
      <w:pPr>
        <w:pStyle w:val="Heading3"/>
      </w:pPr>
      <w:r>
        <w:t xml:space="preserve">Cómo se hace en RICORA</w:t>
      </w:r>
    </w:p>
    <w:p>
      <w:pPr>
        <w:pStyle w:val="ListParagraph"/>
        <w:numPr>
          <w:ilvl w:val="0"/>
          <w:numId w:val="3"/>
        </w:numPr>
        <w:spacing w:after="60"/>
      </w:pPr>
      <w:r>
        <w:t xml:space="preserve">Se </w:t>
      </w:r>
      <w:r>
        <w:rPr>
          <w:b/>
          <w:bCs/>
        </w:rPr>
        <w:t xml:space="preserve">ingresa</w:t>
      </w:r>
      <w:r>
        <w:t xml:space="preserve"> el archivo: el sistema calcula su huella, identifica el formato y extrae el texto (cada programa queda como Mecanismo).</w:t>
      </w:r>
    </w:p>
    <w:p>
      <w:pPr>
        <w:pStyle w:val="ListParagraph"/>
        <w:numPr>
          <w:ilvl w:val="0"/>
          <w:numId w:val="3"/>
        </w:numPr>
        <w:spacing w:after="60"/>
      </w:pPr>
      <w:r>
        <w:t xml:space="preserve">Al </w:t>
      </w:r>
      <w:r>
        <w:rPr>
          <w:b/>
          <w:bCs/>
        </w:rPr>
        <w:t xml:space="preserve">describir</w:t>
      </w:r>
      <w:r>
        <w:t xml:space="preserve">, el motor de análisis propone agentes, fechas, lugares y actividades; la archivista confirma, corrige o descarta cada propuesta.</w:t>
      </w:r>
    </w:p>
    <w:p>
      <w:pPr>
        <w:pStyle w:val="ListParagraph"/>
        <w:numPr>
          <w:ilvl w:val="0"/>
          <w:numId w:val="3"/>
        </w:numPr>
        <w:spacing w:after="60"/>
      </w:pPr>
      <w:r>
        <w:t xml:space="preserve">Cada entidad confirmada va al </w:t>
      </w:r>
      <w:r>
        <w:rPr>
          <w:b/>
          <w:bCs/>
        </w:rPr>
        <w:t xml:space="preserve">vocabulario del fondo</w:t>
      </w:r>
      <w:r>
        <w:t xml:space="preserve"> una sola vez y se reutiliza; cada vínculo queda como una relación RiC con su código.</w:t>
      </w:r>
    </w:p>
    <w:p>
      <w:pPr>
        <w:pStyle w:val="ListParagraph"/>
        <w:numPr>
          <w:ilvl w:val="0"/>
          <w:numId w:val="3"/>
        </w:numPr>
        <w:spacing w:after="60"/>
      </w:pPr>
      <w:r>
        <w:t xml:space="preserve">Al publicar, la descripción se puede </w:t>
      </w:r>
      <w:r>
        <w:rPr>
          <w:b/>
          <w:bCs/>
        </w:rPr>
        <w:t xml:space="preserve">ver como grafo</w:t>
      </w:r>
      <w:r>
        <w:t xml:space="preserve">, exportar en RiC-O (validado contra el OWL y el perfil SHACL) y consultar con SPARQL.</w:t>
      </w:r>
    </w:p>
    <w:p>
      <w:pPr>
        <w:pStyle w:val="Heading1"/>
      </w:pPr>
      <w:r>
        <w:t xml:space="preserve">A6. Qué debe aprender, y en qué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3600"/>
        <w:gridCol w:w="3010"/>
      </w:tblGrid>
      <w:tr>
        <w:trPr>
          <w:tblHeader/>
        </w:trPr>
        <w:tc>
          <w:tcPr>
            <w:tcW w:type="dxa" w:w="45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w:t>
            </w:r>
          </w:p>
        </w:tc>
        <w:tc>
          <w:tcPr>
            <w:tcW w:type="dxa" w:w="2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Tema</w:t>
            </w:r>
          </w:p>
        </w:tc>
        <w:tc>
          <w:tcPr>
            <w:tcW w:type="dxa" w:w="36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saber al final</w:t>
            </w:r>
          </w:p>
        </w:tc>
        <w:tc>
          <w:tcPr>
            <w:tcW w:type="dxa" w:w="301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Fuente gratuita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RiC-CM: entidades, atributos y relaciones</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Reconocer las 19 entidades en un documento real y nombrar sus relaciones con el código RiC-R.</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Texto de RiC-CM 1.0 en el sitio del ICA (ica.org)</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2</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Correspondencia ISAD(G) / ISAAR(CPF) → RiC</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Pasar una ficha ISAD(G) y un registro ISAAR a entidades y relaciones RiC.</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Comparar los elementos de ISAD(G) con los atributos de RiC-CM, con un fondo propio</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3</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Datos enlazados: tripleta, URI, RDF, Turtle</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Leer y escribir tripletas sencillas como las del ejemplo.</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RDF 1.1 Primer del W3C (w3.org/TR/rdf11-primer)</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RiC-O: clases y propiedades</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Buscar una clase o propiedad y entender su dominio y rango.</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Documentación de RiC-O en github.com/ICA-EGAD/RiC-O</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5</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SPARQL básico</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Hacer preguntas al grafo («documentos producidos por…»).</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Punto SPARQL de RICORA y la recomendación SPARQL 1.1 del W3C</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6</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Vocabularios y normas de apoyo: SKOS, EDTF, ISO 639</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Saber por qué una función es un concepto SKOS y una fecha «c. 1948» es 1948~.</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EDTF en loc.gov/standards/datetime</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7</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Validación (SHACL), en concepto</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Entender qué significa «la exportación es conforme» y leer un informe de conformidad.</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informe de conformidad de RICORA (Instrumentos → Exportar)</w:t>
            </w:r>
          </w:p>
        </w:tc>
      </w:tr>
    </w:tbl>
    <w:p>
      <w:pPr>
        <w:spacing w:before="160"/>
      </w:pPr>
      <w:r>
        <w:rPr>
          <w:b/>
          <w:bCs/>
        </w:rPr>
        <w:t xml:space="preserve">Ejercicio recomendado: </w:t>
      </w:r>
      <w:r>
        <w:t xml:space="preserve">tome tres documentos reales de su trabajo de consultoría y dibújelos en papel como en el ejemplo A5, antes de describirlos en el sistema. Es la forma más rápida de pasar de pensar en árbol a pensar en red.</w:t>
      </w:r>
    </w:p>
    <w:p>
      <w:r>
        <w:br w:type="page"/>
      </w:r>
    </w:p>
    <w:p>
      <w:pPr>
        <w:spacing w:after="120" w:before="600"/>
      </w:pPr>
      <w:r>
        <w:rPr>
          <w:b/>
          <w:bCs/>
          <w:color w:val="2F5FD0"/>
          <w:sz w:val="40"/>
          <w:szCs w:val="40"/>
        </w:rPr>
        <w:t xml:space="preserve">Parte B · RiC en el mundo y en Colombia</w:t>
      </w:r>
    </w:p>
    <w:p>
      <w:pPr>
        <w:spacing w:after="400"/>
      </w:pPr>
      <w:r>
        <w:rPr>
          <w:color w:val="5B6477"/>
          <w:sz w:val="24"/>
          <w:szCs w:val="24"/>
        </w:rPr>
        <w:t xml:space="preserve">Qué sistemas existen, qué hace cada uno y dónde queda RICORA</w:t>
      </w:r>
    </w:p>
    <w:p>
      <w:pPr>
        <w:pStyle w:val="Heading1"/>
      </w:pPr>
      <w:r>
        <w:t xml:space="preserve">B1. RiC en Colombia</w:t>
      </w:r>
    </w:p>
    <w:p>
      <w:pPr>
        <w:spacing w:after="120" w:line="276"/>
      </w:pPr>
      <w:r>
        <w:rPr>
          <w:b/>
          <w:bCs/>
        </w:rPr>
        <w:t xml:space="preserve">El Archivo General de la Nación ya eligió RiC. </w:t>
      </w:r>
      <w:r>
        <w:t xml:space="preserve">Presentó el «Esquema de Metadatos para Entidades Públicas Colombianas» como una adaptación nacional del modelo RiC-CM. Según el propio documento, su objetivo es un marco estructurado y normativo para describir, gestionar y dar acceso a los documentos de las entidades públicas, con interoperabilidad y cumplimiento de las exigencias de transparencia, protección de datos y transformación digital, en línea con la Ley 594 de 2000, el Decreto 1080 de 2015 y la política de Gobierno Digital (CONPES 3920 de 2018).</w:t>
      </w:r>
    </w:p>
    <w:p>
      <w:pPr>
        <w:spacing w:after="120" w:line="276"/>
      </w:pPr>
      <w:r>
        <w:rPr>
          <w:b/>
          <w:bCs/>
        </w:rPr>
        <w:t xml:space="preserve">Lo que esto significa para RICORA: </w:t>
      </w:r>
      <w:r>
        <w:t xml:space="preserve">su modelo va en la misma dirección que la autoridad archivística nacional. Pero falta un paso concreto: comparar campo por campo el esquema del AGN con lo que RICORA guarda y exporta. Para hacerlo necesito el documento del esquema (ver parte H).</w:t>
      </w:r>
    </w:p>
    <w:p>
      <w:pPr>
        <w:spacing w:after="120" w:line="276"/>
      </w:pPr>
      <w:r>
        <w:rPr>
          <w:b/>
          <w:bCs/>
        </w:rPr>
        <w:t xml:space="preserve">El marco que lo rodea: </w:t>
      </w:r>
      <w:r>
        <w:t xml:space="preserve">el Acuerdo 001 de 2024 (Acuerdo Único de la Función Archivística) exige a los sujetos obligados repositorios digitales confiables y un Plan de Preservación Digital a Largo Plazo dentro del Sistema Integrado de Conservación (SIC), con estrategias como la migración y la conversión de formatos. La descripción se rige por la NTC 4095 (adopción de ISAD(G), 7 áreas y 26 elementos).</w:t>
      </w:r>
    </w:p>
    <w:p>
      <w:pPr>
        <w:spacing w:after="120" w:line="276"/>
      </w:pPr>
      <w:r>
        <w:rPr>
          <w:b/>
          <w:bCs/>
        </w:rPr>
        <w:t xml:space="preserve">¿Existe un sistema especializado en RiC en Colombia? </w:t>
      </w:r>
      <w:r>
        <w:t xml:space="preserve">En las fuentes consultadas, no. Se documentan SGDEA basados en el Modelo de requisitos del AGN (que a su vez se apoya en MoReq) y el uso de AtoM, con ISAD(G), en instituciones como UNINPAHU en Bogotá. Esto no prueba que no exista ninguno; prueba que no hay uno documentado públicamente. La tesis debe decirlo así.</w:t>
      </w:r>
    </w:p>
    <w:p>
      <w:pPr>
        <w:pStyle w:val="Heading1"/>
      </w:pPr>
      <w:r>
        <w:t xml:space="preserve">B2. RiC en el mundo</w:t>
      </w:r>
    </w:p>
    <w:p>
      <w:pPr>
        <w:pStyle w:val="ListParagraph"/>
        <w:numPr>
          <w:ilvl w:val="0"/>
          <w:numId w:val="2"/>
        </w:numPr>
        <w:spacing w:after="60"/>
      </w:pPr>
      <w:r>
        <w:rPr>
          <w:b/>
          <w:bCs/>
        </w:rPr>
        <w:t xml:space="preserve">Archives nationales de Francia: </w:t>
      </w:r>
      <w:r>
        <w:t xml:space="preserve">publicaron un grafo RiC-O de los fondos notariales de París (unos 60 millones de tripletas) y ofrecen una búsqueda visual que no exige saber SPARQL. Con un socio técnico desarrollaron el RiC-O Converter, de código abierto, que convierte EAD 2002 y EAC-CPF a RiC-O (versión 3.0 de marzo de 2025, conforme con RiC-O 1.1).</w:t>
      </w:r>
    </w:p>
    <w:p>
      <w:pPr>
        <w:pStyle w:val="ListParagraph"/>
        <w:numPr>
          <w:ilvl w:val="0"/>
          <w:numId w:val="2"/>
        </w:numPr>
        <w:spacing w:after="60"/>
      </w:pPr>
      <w:r>
        <w:rPr>
          <w:b/>
          <w:bCs/>
        </w:rPr>
        <w:t xml:space="preserve">docuteam context (Suiza): </w:t>
      </w:r>
      <w:r>
        <w:t xml:space="preserve">sistema de información archivística construido de forma nativa sobre RiC, con base de datos de grafo, estándares abiertos, datos enlazados e importación y exportación.</w:t>
      </w:r>
    </w:p>
    <w:p>
      <w:pPr>
        <w:pStyle w:val="ListParagraph"/>
        <w:numPr>
          <w:ilvl w:val="0"/>
          <w:numId w:val="2"/>
        </w:numPr>
        <w:spacing w:after="60"/>
      </w:pPr>
      <w:r>
        <w:rPr>
          <w:b/>
          <w:bCs/>
        </w:rPr>
        <w:t xml:space="preserve">España: </w:t>
      </w:r>
      <w:r>
        <w:t xml:space="preserve">el modelo conceptual NEDA-MC (CNEDA, 2017) se desarrolló en colaboración con el EGAD para alinearse con RiC-CM, y el portal PARES evolucionó de la descripción multinivel jerárquica hacia un modelo relacional de múltiples entidades.</w:t>
      </w:r>
    </w:p>
    <w:p>
      <w:pPr>
        <w:pStyle w:val="ListParagraph"/>
        <w:numPr>
          <w:ilvl w:val="0"/>
          <w:numId w:val="2"/>
        </w:numPr>
        <w:spacing w:after="60"/>
      </w:pPr>
      <w:r>
        <w:rPr>
          <w:b/>
          <w:bCs/>
        </w:rPr>
        <w:t xml:space="preserve">AtoM: </w:t>
      </w:r>
      <w:r>
        <w:t xml:space="preserve">el software libre de descripción promovido por el ICA desde 2005 trabaja con ISAD(G), ISAAR(CPF), ISDF e ISDIAH. La literatura lo describe como «posicionado para la transición» a RiC, sin soporte nativo todavía.</w:t>
      </w:r>
    </w:p>
    <w:p>
      <w:pPr>
        <w:pStyle w:val="ListParagraph"/>
        <w:numPr>
          <w:ilvl w:val="0"/>
          <w:numId w:val="2"/>
        </w:numPr>
        <w:spacing w:after="60"/>
      </w:pPr>
      <w:r>
        <w:rPr>
          <w:b/>
          <w:bCs/>
        </w:rPr>
        <w:t xml:space="preserve">IA para descripción: </w:t>
      </w:r>
      <w:r>
        <w:t xml:space="preserve">Vidya (Universidad Estatal de Ponta Grossa, Brasil) es un canal de código abierto que usa modelos de lenguaje con salidas validadas por ontologías y cumple ISAD(G) y NOBRADE. El proyecto InterPARES Trust AI (2021-2026) estudia cómo usar la IA de forma confiable en documentos y archivos.</w:t>
      </w:r>
    </w:p>
    <w:p>
      <w:pPr>
        <w:pStyle w:val="ListParagraph"/>
        <w:numPr>
          <w:ilvl w:val="0"/>
          <w:numId w:val="2"/>
        </w:numPr>
        <w:spacing w:after="60"/>
      </w:pPr>
      <w:r>
        <w:rPr>
          <w:b/>
          <w:bCs/>
        </w:rPr>
        <w:t xml:space="preserve">Comunidad: </w:t>
      </w:r>
      <w:r>
        <w:t xml:space="preserve">el EGAD mantiene desde abril de 2025 una lista pública de recursos y herramientas RiC. La Asociación Latinoamericana de Archivos ofrece formación en RiC.</w:t>
      </w:r>
    </w:p>
    <w:p>
      <w:pPr>
        <w:pStyle w:val="Heading1"/>
      </w:pPr>
      <w:r>
        <w:t xml:space="preserve">B3. Cuadro comparativo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350"/>
        <w:gridCol w:w="1900"/>
        <w:gridCol w:w="1650"/>
        <w:gridCol w:w="1500"/>
        <w:gridCol w:w="1710"/>
      </w:tblGrid>
      <w:tr>
        <w:trPr>
          <w:tblHeader/>
        </w:trPr>
        <w:tc>
          <w:tcPr>
            <w:tcW w:type="dxa" w:w="125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Sistema</w:t>
            </w:r>
          </w:p>
        </w:tc>
        <w:tc>
          <w:tcPr>
            <w:tcW w:type="dxa" w:w="135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es</w:t>
            </w:r>
          </w:p>
        </w:tc>
        <w:tc>
          <w:tcPr>
            <w:tcW w:type="dxa" w:w="1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Descripción y RiC</w:t>
            </w:r>
          </w:p>
        </w:tc>
        <w:tc>
          <w:tcPr>
            <w:tcW w:type="dxa" w:w="165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Preservación digital</w:t>
            </w:r>
          </w:p>
        </w:tc>
        <w:tc>
          <w:tcPr>
            <w:tcW w:type="dxa" w:w="15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IA</w:t>
            </w:r>
          </w:p>
        </w:tc>
        <w:tc>
          <w:tcPr>
            <w:tcW w:type="dxa" w:w="171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Licencia y presencia en Colombia</w:t>
            </w:r>
          </w:p>
        </w:tc>
      </w:tr>
      <w:tr>
        <w:tc>
          <w:tcPr>
            <w:tcW w:type="dxa" w:w="12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RICORA</w:t>
            </w:r>
          </w:p>
        </w:tc>
        <w:tc>
          <w:tcPr>
            <w:tcW w:type="dxa" w:w="1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Plataforma de tesis: descripción y preservación</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Modelo RiC-CM 1.0; exporta RiC-O 1.1 validado (OWL + SHACL), EAD3 y EAC-CPF. No importa todavía.</w:t>
            </w:r>
          </w:p>
        </w:tc>
        <w:tc>
          <w:tcPr>
            <w:tcW w:type="dxa" w:w="16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OAIS (SIP, AIP, DIP), PREMIS 3.0, BagIt, veraPDF, JHOVE, ClamAV, NDSA calculado</w:t>
            </w:r>
          </w:p>
        </w:tc>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Motor de análisis supervisado; certeza y fuente exportadas en RiC; evaluación ciega</w:t>
            </w:r>
          </w:p>
        </w:tc>
        <w:tc>
          <w:tcPr>
            <w:tcW w:type="dxa" w:w="17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Diseñado para Colombia (Ley 1712, TRD, FUID, Acuerdo 001 de 2024). Licencia por definir.</w:t>
            </w:r>
          </w:p>
        </w:tc>
      </w:tr>
      <w:tr>
        <w:tc>
          <w:tcPr>
            <w:tcW w:type="dxa" w:w="12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AtoM</w:t>
            </w:r>
          </w:p>
        </w:tc>
        <w:tc>
          <w:tcPr>
            <w:tcW w:type="dxa" w:w="1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 y difusión</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ISAD(G), ISAAR(CPF), ISDF, ISDIAH, EAD. RiC: en transición, no nativo.</w:t>
            </w:r>
          </w:p>
        </w:tc>
        <w:tc>
          <w:tcPr>
            <w:tcW w:type="dxa" w:w="16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Se integra con Archivematica</w:t>
            </w:r>
          </w:p>
        </w:tc>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documentada en las fuentes</w:t>
            </w:r>
          </w:p>
        </w:tc>
        <w:tc>
          <w:tcPr>
            <w:tcW w:type="dxa" w:w="17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Libre. Usado en Colombia (p. ej., UNINPAHU).</w:t>
            </w:r>
          </w:p>
        </w:tc>
      </w:tr>
      <w:tr>
        <w:tc>
          <w:tcPr>
            <w:tcW w:type="dxa" w:w="12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Archivematica</w:t>
            </w:r>
          </w:p>
        </w:tc>
        <w:tc>
          <w:tcPr>
            <w:tcW w:type="dxa" w:w="1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Preservación digital</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es un sistema de descripción RiC</w:t>
            </w:r>
          </w:p>
        </w:tc>
        <w:tc>
          <w:tcPr>
            <w:tcW w:type="dxa" w:w="16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OAIS, PREMIS, BagIt</w:t>
            </w:r>
          </w:p>
        </w:tc>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documentada en las fuentes</w:t>
            </w:r>
          </w:p>
        </w:tc>
        <w:tc>
          <w:tcPr>
            <w:tcW w:type="dxa" w:w="17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Libre. Citado en la literatura colombiana de preservación.</w:t>
            </w:r>
          </w:p>
        </w:tc>
      </w:tr>
      <w:tr>
        <w:tc>
          <w:tcPr>
            <w:tcW w:type="dxa" w:w="12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docuteam context</w:t>
            </w:r>
          </w:p>
        </w:tc>
        <w:tc>
          <w:tcPr>
            <w:tcW w:type="dxa" w:w="1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Sistema de información archivística (Suiza)</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Nativo RiC, base de grafo, datos enlazados, importación y exportación</w:t>
            </w:r>
          </w:p>
        </w:tc>
        <w:tc>
          <w:tcPr>
            <w:tcW w:type="dxa" w:w="16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Producto aparte del mismo fabricante</w:t>
            </w:r>
          </w:p>
        </w:tc>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documentada en las fuentes</w:t>
            </w:r>
          </w:p>
        </w:tc>
        <w:tc>
          <w:tcPr>
            <w:tcW w:type="dxa" w:w="17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Comercial. Sin presencia documentada en Colombia.</w:t>
            </w:r>
          </w:p>
        </w:tc>
      </w:tr>
      <w:tr>
        <w:tc>
          <w:tcPr>
            <w:tcW w:type="dxa" w:w="12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RiC-O Converter</w:t>
            </w:r>
          </w:p>
        </w:tc>
        <w:tc>
          <w:tcPr>
            <w:tcW w:type="dxa" w:w="1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Herramienta de conversión (Archives nationales de Francia)</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Convierte EAD 2002 y EAC-CPF a RiC-O 1.1</w:t>
            </w:r>
          </w:p>
        </w:tc>
        <w:tc>
          <w:tcPr>
            <w:tcW w:type="dxa" w:w="16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w:t>
            </w:r>
          </w:p>
        </w:tc>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w:t>
            </w:r>
          </w:p>
        </w:tc>
        <w:tc>
          <w:tcPr>
            <w:tcW w:type="dxa" w:w="17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Libre. Útil para migrar descripciones existentes.</w:t>
            </w:r>
          </w:p>
        </w:tc>
      </w:tr>
      <w:tr>
        <w:tc>
          <w:tcPr>
            <w:tcW w:type="dxa" w:w="12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SGDEA comerciales</w:t>
            </w:r>
          </w:p>
        </w:tc>
        <w:tc>
          <w:tcPr>
            <w:tcW w:type="dxa" w:w="1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Gestión de documentos electrónicos</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Metadatos institucionales e ISAD(G); RiC no documentado</w:t>
            </w:r>
          </w:p>
        </w:tc>
        <w:tc>
          <w:tcPr>
            <w:tcW w:type="dxa" w:w="16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Variable según el proveedor</w:t>
            </w:r>
          </w:p>
        </w:tc>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Variable</w:t>
            </w:r>
          </w:p>
        </w:tc>
        <w:tc>
          <w:tcPr>
            <w:tcW w:type="dxa" w:w="17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Comerciales, basados en el Modelo de requisitos del AGN.</w:t>
            </w:r>
          </w:p>
        </w:tc>
      </w:tr>
      <w:tr>
        <w:tc>
          <w:tcPr>
            <w:tcW w:type="dxa" w:w="12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Vidya</w:t>
            </w:r>
          </w:p>
        </w:tc>
        <w:tc>
          <w:tcPr>
            <w:tcW w:type="dxa" w:w="1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Canal de IA para descripción (Brasil)</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ISAD(G) y NOBRADE; no RiC nativo</w:t>
            </w:r>
          </w:p>
        </w:tc>
        <w:tc>
          <w:tcPr>
            <w:tcW w:type="dxa" w:w="16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w:t>
            </w:r>
          </w:p>
        </w:tc>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Modelos de lenguaje con salidas validadas por ontologías</w:t>
            </w:r>
          </w:p>
        </w:tc>
        <w:tc>
          <w:tcPr>
            <w:tcW w:type="dxa" w:w="17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Libre, académico (2026).</w:t>
            </w:r>
          </w:p>
        </w:tc>
      </w:tr>
    </w:tbl>
    <w:p>
      <w:pPr>
        <w:spacing w:before="120"/>
      </w:pPr>
      <w:r>
        <w:rPr>
          <w:i/>
          <w:iCs/>
        </w:rPr>
        <w:t xml:space="preserve">El esquema de metadatos del AGN no aparece en el cuadro porque no es un sistema: es la norma nacional con la que RICORA debe alinearse.</w:t>
      </w:r>
    </w:p>
    <w:p>
      <w:pPr>
        <w:pStyle w:val="Heading1"/>
      </w:pPr>
      <w:r>
        <w:t xml:space="preserve">B4. Qué valor genera RICORA y qué tan innovador es</w:t>
      </w:r>
    </w:p>
    <w:p>
      <w:pPr>
        <w:pStyle w:val="Heading3"/>
      </w:pPr>
      <w:r>
        <w:t xml:space="preserve">Valor para una entidad</w:t>
      </w:r>
    </w:p>
    <w:p>
      <w:pPr>
        <w:pStyle w:val="ListParagraph"/>
        <w:numPr>
          <w:ilvl w:val="0"/>
          <w:numId w:val="2"/>
        </w:numPr>
        <w:spacing w:after="60"/>
      </w:pPr>
      <w:r>
        <w:rPr>
          <w:b/>
          <w:bCs/>
        </w:rPr>
        <w:t xml:space="preserve">Cumplimiento verificable: </w:t>
      </w:r>
      <w:r>
        <w:t xml:space="preserve">el filtro de la Ley 1712 se aplica igual en el catálogo, la guía, los datos abiertos, el RDF y el paquete de consulta; el índice de información clasificada y reservada se genera solo; la preservación responde a las exigencias del Acuerdo 001 de 2024 con evidencia (huellas, validaciones, PREMIS).</w:t>
      </w:r>
    </w:p>
    <w:p>
      <w:pPr>
        <w:pStyle w:val="ListParagraph"/>
        <w:numPr>
          <w:ilvl w:val="0"/>
          <w:numId w:val="2"/>
        </w:numPr>
        <w:spacing w:after="60"/>
      </w:pPr>
      <w:r>
        <w:rPr>
          <w:b/>
          <w:bCs/>
        </w:rPr>
        <w:t xml:space="preserve">Menos tiempo de descripción, sin perder control: </w:t>
      </w:r>
      <w:r>
        <w:t xml:space="preserve">el motor propone y la archivista decide; cada propuesta queda con su certeza y su fuente, y la evaluación ciega mide si el motor ayuda o estorba.</w:t>
      </w:r>
    </w:p>
    <w:p>
      <w:pPr>
        <w:pStyle w:val="ListParagraph"/>
        <w:numPr>
          <w:ilvl w:val="0"/>
          <w:numId w:val="2"/>
        </w:numPr>
        <w:spacing w:after="60"/>
      </w:pPr>
      <w:r>
        <w:rPr>
          <w:b/>
          <w:bCs/>
        </w:rPr>
        <w:t xml:space="preserve">Contexto que no se pierde: </w:t>
      </w:r>
      <w:r>
        <w:t xml:space="preserve">agentes, cargos, funciones, normas y fechas descritos una vez y enlazados, con su historia institucional.</w:t>
      </w:r>
    </w:p>
    <w:p>
      <w:pPr>
        <w:pStyle w:val="ListParagraph"/>
        <w:numPr>
          <w:ilvl w:val="0"/>
          <w:numId w:val="2"/>
        </w:numPr>
        <w:spacing w:after="60"/>
      </w:pPr>
      <w:r>
        <w:rPr>
          <w:b/>
          <w:bCs/>
        </w:rPr>
        <w:t xml:space="preserve">Preservación y descripción unidas: </w:t>
      </w:r>
      <w:r>
        <w:t xml:space="preserve">el mismo documento descrito en RiC tiene su paquete OAIS, su historia PREMIS y su validación de formato.</w:t>
      </w:r>
    </w:p>
    <w:p>
      <w:pPr>
        <w:pStyle w:val="ListParagraph"/>
        <w:numPr>
          <w:ilvl w:val="0"/>
          <w:numId w:val="2"/>
        </w:numPr>
        <w:spacing w:after="60"/>
      </w:pPr>
      <w:r>
        <w:rPr>
          <w:b/>
          <w:bCs/>
        </w:rPr>
        <w:t xml:space="preserve">Preparado para la norma nacional: </w:t>
      </w:r>
      <w:r>
        <w:t xml:space="preserve">alineado con la adopción de RiC-CM por el AGN, antes de que se vuelva exigencia.</w:t>
      </w:r>
    </w:p>
    <w:p>
      <w:pPr>
        <w:pStyle w:val="Heading3"/>
      </w:pPr>
      <w:r>
        <w:t xml:space="preserve">Qué tan innovador es (evaluación honesta)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60"/>
      </w:tblGrid>
      <w:tr>
        <w:trPr>
          <w:tblHeader/>
        </w:trPr>
        <w:tc>
          <w:tcPr>
            <w:tcW w:type="dxa" w:w="28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Aspecto</w:t>
            </w:r>
          </w:p>
        </w:tc>
        <w:tc>
          <w:tcPr>
            <w:tcW w:type="dxa" w:w="1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Valoración</w:t>
            </w:r>
          </w:p>
        </w:tc>
        <w:tc>
          <w:tcPr>
            <w:tcW w:type="dxa" w:w="52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Por qué</w:t>
            </w:r>
          </w:p>
        </w:tc>
      </w:tr>
      <w:tr>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Usar RiC</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Medio</w:t>
            </w:r>
          </w:p>
        </w:tc>
        <w:tc>
          <w:tcPr>
            <w:tcW w:type="dxa" w:w="52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Ya hay sistemas nativos RiC en el mundo (Suiza) y grafos institucionales (Francia).</w:t>
            </w:r>
          </w:p>
        </w:tc>
      </w:tr>
      <w:tr>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 en Colombia</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Alto</w:t>
            </w:r>
          </w:p>
        </w:tc>
        <w:tc>
          <w:tcPr>
            <w:tcW w:type="dxa" w:w="52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se documenta otro sistema colombiano con RiC; el AGN apenas lo adoptó como esquema.</w:t>
            </w:r>
          </w:p>
        </w:tc>
      </w:tr>
      <w:tr>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IA con certeza registrada en RiC</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Alto</w:t>
            </w:r>
          </w:p>
        </w:tc>
        <w:tc>
          <w:tcPr>
            <w:tcW w:type="dxa" w:w="52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Las fuentes consultadas no muestran otro sistema que exporte la certeza y la fuente de cada relación propuesta por IA en RiC-O.</w:t>
            </w:r>
          </w:p>
        </w:tc>
      </w:tr>
      <w:tr>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Descripción RiC + preservación OAIS en un solo sistema</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Medio-alto</w:t>
            </w:r>
          </w:p>
        </w:tc>
        <w:tc>
          <w:tcPr>
            <w:tcW w:type="dxa" w:w="52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 usual es separarlas (AtoM + Archivematica).</w:t>
            </w:r>
          </w:p>
        </w:tc>
      </w:tr>
      <w:tr>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Validación automática de conformidad</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Alto</w:t>
            </w:r>
          </w:p>
        </w:tc>
        <w:tc>
          <w:tcPr>
            <w:tcW w:type="dxa" w:w="52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Cada ejecución de pruebas compara el mapeo con el OWL oficial y valida la exportación con SHACL.</w:t>
            </w:r>
          </w:p>
        </w:tc>
      </w:tr>
      <w:tr>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Ser nativo en RiC</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Todavía no</w:t>
            </w:r>
          </w:p>
        </w:tc>
        <w:tc>
          <w:tcPr>
            <w:tcW w:type="dxa" w:w="52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Ver parte E: falta la importación, los agentes institucionales y el grafo persistente.</w:t>
            </w:r>
          </w:p>
        </w:tc>
      </w:tr>
    </w:tbl>
    <w:p>
      <w:r>
        <w:br w:type="page"/>
      </w:r>
    </w:p>
    <w:p>
      <w:pPr>
        <w:spacing w:after="120" w:before="600"/>
      </w:pPr>
      <w:r>
        <w:rPr>
          <w:b/>
          <w:bCs/>
          <w:color w:val="2F5FD0"/>
          <w:sz w:val="40"/>
          <w:szCs w:val="40"/>
        </w:rPr>
        <w:t xml:space="preserve">Parte C · Normas que complementan a RiC</w:t>
      </w:r>
    </w:p>
    <w:p>
      <w:pPr>
        <w:spacing w:after="400"/>
      </w:pPr>
      <w:r>
        <w:rPr>
          <w:color w:val="5B6477"/>
          <w:sz w:val="24"/>
          <w:szCs w:val="24"/>
        </w:rPr>
        <w:t xml:space="preserve">Qué aporta cada una y en qué estado está en RICORA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860"/>
      </w:tblGrid>
      <w:tr>
        <w:trPr>
          <w:tblHeader/>
        </w:trPr>
        <w:tc>
          <w:tcPr>
            <w:tcW w:type="dxa" w:w="27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Norma</w:t>
            </w:r>
          </w:p>
        </w:tc>
        <w:tc>
          <w:tcPr>
            <w:tcW w:type="dxa" w:w="28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aporta</w:t>
            </w:r>
          </w:p>
        </w:tc>
        <w:tc>
          <w:tcPr>
            <w:tcW w:type="dxa" w:w="38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Estado en RICORA</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RiC-CM 1.0 y RiC-O 1.1</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Modelo conceptual y ontología</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Exportación conforme y verificada; modelo nativo parcial (parte E)</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RiC-AG v0.1 (borrador, 2025)</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Guías de aplicación</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Por revisar y alinear</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Esquema de metadatos RiC del AGN</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Adaptación colombiana de RiC-CM</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Falta el mapeo campo por campo (necesito el documento)</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NTC 4095 (ISAD(G))</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 multinivel, 26 elementos</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Cubierta: ficha ISAD(G) completa</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ISAAR(CPF) e ISDF</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Autoridades y funciones</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Cubiertas: ficha de autoridad y árbol de funciones</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ISDIAH</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Instituciones que custodian archivos</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Parcial: el custodio existe, la ficha de la institución archivística no</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EAD3 y EAC-CPF</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Intercambio XML</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Exporta y valida contra el XSD; no importa</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SKOS, EDTF, ISO 639-3, ISO 15924</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Vocabularios, fechas, idiomas y escrituras</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Cubiertas</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OAIS (NTC-ISO 14721)</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Modelo de preservación: SIP, AIP, DIP</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Implementado</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NTC-ISO 16363</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Auditoría de repositorio digital confiable</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Falta la autoevaluación (la exige el Acuerdo 001 de 2024: «repositorios confiables»)</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PREMIS 3.0</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Metadatos de preservación</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Implementado y validado contra el esquema oficial</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BagIt (RFC 8493)</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Empaquetado con huellas</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Implementado</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NDSA Levels 2.0</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Niveles de preservación</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Calculado; almacenamiento en nivel 0 por infraestructura</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PRONOM (Siegfried)</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Identificación de formatos</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Implementado</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ISO 19005 (PDF/A) y TIFF</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Formatos de conservación</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Validados con veraPDF y JHOVE</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ISO 15489-1 e ISO 23081</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Gestión documental y metadatos de gestión</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Referencia conceptual; no auditada</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Ley 594 de 2000, Decreto 1080 de 2015, Acuerdo 001 de 2024</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Marco archivístico colombiano</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Parcial: TRD, FUID y preservación; falta integrar el SIC formalmente</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Ley 1712 de 2014</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Información pública, clasificada y reservada</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Implementada en todas las salidas</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Ley 1581 de 2012</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Protección de datos personales</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Falta la detección de datos sensibles (parte D)</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Ley 527 de 1999</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 electrónico y firma digital</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Falta validar las firmas de los documentos nacidos digitales</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CONPES 4144 de 2025</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Política nacional de inteligencia artificial</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Las salvaguardas existen (supervisión humana, trazabilidad, evaluación); falta declararlas formalmente frente a la política</w:t>
            </w:r>
          </w:p>
        </w:tc>
      </w:tr>
      <w:tr>
        <w:tc>
          <w:tcPr>
            <w:tcW w:type="dxa" w:w="27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Modelo de requisitos SGDEA (AGN)</w:t>
            </w:r>
          </w:p>
        </w:tc>
        <w:tc>
          <w:tcPr>
            <w:tcW w:type="dxa" w:w="2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Requisitos funcionales de gestión electrónica</w:t>
            </w:r>
          </w:p>
        </w:tc>
        <w:tc>
          <w:tcPr>
            <w:tcW w:type="dxa" w:w="38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RICORA no es un SGDEA: cubre descripción y preservación. Hay que definir cómo se integra con el de la entidad</w:t>
            </w:r>
          </w:p>
        </w:tc>
      </w:tr>
    </w:tbl>
    <w:p>
      <w:r>
        <w:br w:type="page"/>
      </w:r>
    </w:p>
    <w:p>
      <w:pPr>
        <w:spacing w:after="120" w:before="600"/>
      </w:pPr>
      <w:r>
        <w:rPr>
          <w:b/>
          <w:bCs/>
          <w:color w:val="2F5FD0"/>
          <w:sz w:val="40"/>
          <w:szCs w:val="40"/>
        </w:rPr>
        <w:t xml:space="preserve">Parte D · IA embebida para automatizar la conservación</w:t>
      </w:r>
    </w:p>
    <w:p>
      <w:pPr>
        <w:spacing w:after="400"/>
      </w:pPr>
      <w:r>
        <w:rPr>
          <w:color w:val="5B6477"/>
          <w:sz w:val="24"/>
          <w:szCs w:val="24"/>
        </w:rPr>
        <w:t xml:space="preserve">Qué puede hacer la IA en cada proceso, qué ya existe y qué falta, siempre con control humano</w:t>
      </w:r>
    </w:p>
    <w:p>
      <w:pPr>
        <w:spacing w:after="120" w:line="276"/>
      </w:pPr>
      <w:r>
        <w:rPr>
          <w:b/>
          <w:bCs/>
        </w:rPr>
        <w:t xml:space="preserve">Principio: </w:t>
      </w:r>
      <w:r>
        <w:t xml:space="preserve">la IA propone, la persona decide. Cada programa de IA es un agente RiC de tipo Mecanismo (RiC-E13) con su versión; cada propuesta queda con su certeza y su fuente; nada se migra, se elimina ni se publica sin aprobación. Es lo que pide la política nacional (CONPES 4144) y lo que estudia InterPARES Trust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200"/>
        <w:gridCol w:w="2460"/>
      </w:tblGrid>
      <w:tr>
        <w:trPr>
          <w:tblHeader/>
        </w:trPr>
        <w:tc>
          <w:tcPr>
            <w:tcW w:type="dxa" w:w="18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Proceso</w:t>
            </w:r>
          </w:p>
        </w:tc>
        <w:tc>
          <w:tcPr>
            <w:tcW w:type="dxa" w:w="2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automatiza la IA</w:t>
            </w:r>
          </w:p>
        </w:tc>
        <w:tc>
          <w:tcPr>
            <w:tcW w:type="dxa" w:w="22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Hoy en RICORA</w:t>
            </w:r>
          </w:p>
        </w:tc>
        <w:tc>
          <w:tcPr>
            <w:tcW w:type="dxa" w:w="24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falta</w:t>
            </w:r>
          </w:p>
        </w:tc>
      </w:tr>
      <w:tr>
        <w:tc>
          <w:tcPr>
            <w:tcW w:type="dxa" w:w="1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Riesgo de formatos</w:t>
            </w:r>
          </w:p>
        </w:tc>
        <w:tc>
          <w:tcPr>
            <w:tcW w:type="dxa" w:w="2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Calcular el riesgo de obsolescencia o el índice de interoperabilidad de cada formato y proponer la migración antes de que sea urgente (el archivo de Emilia-Romaña lo experimentó en 2025).</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Tabla fija de riesgos + PRONOM + validación</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Modelo de riesgo alimentado por el registro PRONOM y el uso en el fondo; alerta temprana</w:t>
            </w:r>
          </w:p>
        </w:tc>
      </w:tr>
      <w:tr>
        <w:tc>
          <w:tcPr>
            <w:tcW w:type="dxa" w:w="1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Calidad de la digitalización</w:t>
            </w:r>
          </w:p>
        </w:tc>
        <w:tc>
          <w:tcPr>
            <w:tcW w:type="dxa" w:w="2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Detectar imágenes borrosas, inclinadas, páginas en blanco o faltantes.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Confianza del OCR y alerta de baja confianza</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Métricas de imagen y alerta antes de describir</w:t>
            </w:r>
          </w:p>
        </w:tc>
      </w:tr>
      <w:tr>
        <w:tc>
          <w:tcPr>
            <w:tcW w:type="dxa" w:w="1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Transcripción de manuscritos</w:t>
            </w:r>
          </w:p>
        </w:tc>
        <w:tc>
          <w:tcPr>
            <w:tcW w:type="dxa" w:w="2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Reconocimiento de escritura manuscrita (HTR).</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Tesseract, para texto impreso</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Kraken o eScriptorium (libres) con modelos entrenados con la letra del fondo</w:t>
            </w:r>
          </w:p>
        </w:tc>
      </w:tr>
      <w:tr>
        <w:tc>
          <w:tcPr>
            <w:tcW w:type="dxa" w:w="1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Descripción</w:t>
            </w:r>
          </w:p>
        </w:tc>
        <w:tc>
          <w:tcPr>
            <w:tcW w:type="dxa" w:w="2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Proponer agentes, fechas, lugares, actividades y relaciones.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Motor de análisis con certeza y fuente en RiC</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Autor, acumulador, eventos y tipologías (partes E y G)</w:t>
            </w:r>
          </w:p>
        </w:tc>
      </w:tr>
      <w:tr>
        <w:tc>
          <w:tcPr>
            <w:tcW w:type="dxa" w:w="1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Datos sensibles y acceso</w:t>
            </w:r>
          </w:p>
        </w:tc>
        <w:tc>
          <w:tcPr>
            <w:tcW w:type="dxa" w:w="2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Detectar datos personales y sensibles (Ley 1581) y proponer clasificación o reserva (Ley 1712).</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clasificación se declara a mano</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Detector de datos sensibles; la decisión siempre es humana</w:t>
            </w:r>
          </w:p>
        </w:tc>
      </w:tr>
      <w:tr>
        <w:tc>
          <w:tcPr>
            <w:tcW w:type="dxa" w:w="1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Clasificación (CCD y TRD)</w:t>
            </w:r>
          </w:p>
        </w:tc>
        <w:tc>
          <w:tcPr>
            <w:tcW w:type="dxa" w:w="2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Proponer serie y subserie según el contenido y el banco terminológico, y con ello la retención.</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serie se elige a mano</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Requiere el CCD, la TRD y el banco terminológico (parte H)</w:t>
            </w:r>
          </w:p>
        </w:tc>
      </w:tr>
      <w:tr>
        <w:tc>
          <w:tcPr>
            <w:tcW w:type="dxa" w:w="1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Integridad</w:t>
            </w:r>
          </w:p>
        </w:tc>
        <w:tc>
          <w:tcPr>
            <w:tcW w:type="dxa" w:w="2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Detectar patrones anómalos en las verificaciones de huella y en el almacenamiento.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Verificación periódica con alertas</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Análisis de tendencias y alerta temprana</w:t>
            </w:r>
          </w:p>
        </w:tc>
      </w:tr>
      <w:tr>
        <w:tc>
          <w:tcPr>
            <w:tcW w:type="dxa" w:w="1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Duplicados y versiones</w:t>
            </w:r>
          </w:p>
        </w:tc>
        <w:tc>
          <w:tcPr>
            <w:tcW w:type="dxa" w:w="2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Encontrar documentos casi iguales por contenido.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Duplicado exacto por huella</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Similitud semántica entre textos</w:t>
            </w:r>
          </w:p>
        </w:tc>
      </w:tr>
      <w:tr>
        <w:tc>
          <w:tcPr>
            <w:tcW w:type="dxa" w:w="1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Planeación de la preservación</w:t>
            </w:r>
          </w:p>
        </w:tc>
        <w:tc>
          <w:tcPr>
            <w:tcW w:type="dxa" w:w="2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Resumir el estado (NDSA, riesgos, pendientes) y proponer el plan del periodo.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Niveles NDSA calculados</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Asistente que redacte la propuesta para el Plan de Preservación del SIC</w:t>
            </w:r>
          </w:p>
        </w:tc>
      </w:tr>
    </w:tbl>
    <w:p>
      <w:pPr>
        <w:pStyle w:val="Heading3"/>
      </w:pPr>
      <w:r>
        <w:t xml:space="preserve">Salvaguardas obligatorias</w:t>
      </w:r>
    </w:p>
    <w:p>
      <w:pPr>
        <w:pStyle w:val="ListParagraph"/>
        <w:numPr>
          <w:ilvl w:val="0"/>
          <w:numId w:val="2"/>
        </w:numPr>
        <w:spacing w:after="60"/>
      </w:pPr>
      <w:r>
        <w:rPr>
          <w:b/>
          <w:bCs/>
        </w:rPr>
        <w:t xml:space="preserve">Datos reservados: </w:t>
      </w:r>
      <w:r>
        <w:t xml:space="preserve">no se envían a un servicio de IA externo sin base legal. Para lo clasificado o reservado, usar modelos locales o no usar IA.</w:t>
      </w:r>
    </w:p>
    <w:p>
      <w:pPr>
        <w:pStyle w:val="ListParagraph"/>
        <w:numPr>
          <w:ilvl w:val="0"/>
          <w:numId w:val="2"/>
        </w:numPr>
        <w:spacing w:after="60"/>
      </w:pPr>
      <w:r>
        <w:rPr>
          <w:b/>
          <w:bCs/>
        </w:rPr>
        <w:t xml:space="preserve">Trazabilidad: </w:t>
      </w:r>
      <w:r>
        <w:t xml:space="preserve">cada acción de IA queda en la auditoría y en PREMIS, con el mecanismo y su versión.</w:t>
      </w:r>
    </w:p>
    <w:p>
      <w:pPr>
        <w:pStyle w:val="ListParagraph"/>
        <w:numPr>
          <w:ilvl w:val="0"/>
          <w:numId w:val="2"/>
        </w:numPr>
        <w:spacing w:after="60"/>
      </w:pPr>
      <w:r>
        <w:rPr>
          <w:b/>
          <w:bCs/>
        </w:rPr>
        <w:t xml:space="preserve">Medición: </w:t>
      </w:r>
      <w:r>
        <w:t xml:space="preserve">cada nueva capacidad pasa por la evaluación ciega antes de usarse en producción.</w:t>
      </w:r>
    </w:p>
    <w:p>
      <w:pPr>
        <w:pStyle w:val="ListParagraph"/>
        <w:numPr>
          <w:ilvl w:val="0"/>
          <w:numId w:val="2"/>
        </w:numPr>
        <w:spacing w:after="60"/>
      </w:pPr>
      <w:r>
        <w:rPr>
          <w:b/>
          <w:bCs/>
        </w:rPr>
        <w:t xml:space="preserve">Sin decisiones irreversibles: </w:t>
      </w:r>
      <w:r>
        <w:t xml:space="preserve">la IA nunca elimina ni migra sola.</w:t>
      </w:r>
    </w:p>
    <w:p>
      <w:pPr>
        <w:pStyle w:val="Heading1"/>
      </w:pPr>
      <w:r>
        <w:t xml:space="preserve">D1. Qué más le falta a la preservación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Faltante</w:t>
            </w:r>
          </w:p>
        </w:tc>
        <w:tc>
          <w:tcPr>
            <w:tcW w:type="dxa" w:w="34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Por qué importa</w:t>
            </w:r>
          </w:p>
        </w:tc>
        <w:tc>
          <w:tcPr>
            <w:tcW w:type="dxa" w:w="36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Cómo agregarlo</w:t>
            </w:r>
          </w:p>
        </w:tc>
      </w:tr>
      <w:tr>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Almacenamiento independiente</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segunda copia comparte disco con la primaria (PRE-07); NDSA de almacenamiento en nivel 0.</w:t>
            </w:r>
          </w:p>
        </w:tc>
        <w:tc>
          <w:tcPr>
            <w:tcW w:type="dxa" w:w="3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Montar la segunda copia en otro disco u otro equipo y, para el nivel 2, una copia fuera del servidor.</w:t>
            </w:r>
          </w:p>
        </w:tc>
      </w:tr>
      <w:tr>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Repositorio confiable (ISO 16363)</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Acuerdo 001 de 2024 exige repositorios confiables.</w:t>
            </w:r>
          </w:p>
        </w:tc>
        <w:tc>
          <w:tcPr>
            <w:tcW w:type="dxa" w:w="3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Autoevaluación con la lista de la norma y plan de mejora.</w:t>
            </w:r>
          </w:p>
        </w:tc>
      </w:tr>
      <w:tr>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Plan de Preservación del SIC dentro del sistema</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Hoy las políticas son parámetros sueltos.</w:t>
            </w:r>
          </w:p>
        </w:tc>
        <w:tc>
          <w:tcPr>
            <w:tcW w:type="dxa" w:w="3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Cargar el plan de la entidad: formatos aceptados, frecuencias, estrategias y responsables.</w:t>
            </w:r>
          </w:p>
        </w:tc>
      </w:tr>
      <w:tr>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Audio, video y correo</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Solo hay migración de PDF e imagen.</w:t>
            </w:r>
          </w:p>
        </w:tc>
        <w:tc>
          <w:tcPr>
            <w:tcW w:type="dxa" w:w="3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FFmpeg (audio y video) y conversión de correo a formatos de conservación, todo libre.</w:t>
            </w:r>
          </w:p>
        </w:tc>
      </w:tr>
      <w:tr>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Firmas digitales</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 documento nacido digital con firma debe conservar la prueba de su validez (Ley 527 de 1999).</w:t>
            </w:r>
          </w:p>
        </w:tc>
        <w:tc>
          <w:tcPr>
            <w:tcW w:type="dxa" w:w="3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Validar y registrar la firma al ingresar, como evento PREMIS.</w:t>
            </w:r>
          </w:p>
        </w:tc>
      </w:tr>
      <w:tr>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Antivirus encendido</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Hoy está apagado por memoria.</w:t>
            </w:r>
          </w:p>
        </w:tc>
        <w:tc>
          <w:tcPr>
            <w:tcW w:type="dxa" w:w="3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Más memoria en el servidor o un servicio de análisis separado.</w:t>
            </w:r>
          </w:p>
        </w:tc>
      </w:tr>
      <w:tr>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Metadatos técnicos por tipo</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Imagen, audio y video tienen metadatos técnicos propios.</w:t>
            </w:r>
          </w:p>
        </w:tc>
        <w:tc>
          <w:tcPr>
            <w:tcW w:type="dxa" w:w="3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Extraerlos al ingresar y llevarlos al PREMIS.</w:t>
            </w:r>
          </w:p>
        </w:tc>
      </w:tr>
    </w:tbl>
    <w:p>
      <w:r>
        <w:br w:type="page"/>
      </w:r>
    </w:p>
    <w:p>
      <w:pPr>
        <w:spacing w:after="120" w:before="600"/>
      </w:pPr>
      <w:r>
        <w:rPr>
          <w:b/>
          <w:bCs/>
          <w:color w:val="2F5FD0"/>
          <w:sz w:val="40"/>
          <w:szCs w:val="40"/>
        </w:rPr>
        <w:t xml:space="preserve">Parte E · RICORA frente a RiC</w:t>
      </w:r>
    </w:p>
    <w:p>
      <w:pPr>
        <w:spacing w:after="400"/>
      </w:pPr>
      <w:r>
        <w:rPr>
          <w:color w:val="5B6477"/>
          <w:sz w:val="24"/>
          <w:szCs w:val="24"/>
        </w:rPr>
        <w:t xml:space="preserve">Dónde está el sistema hoy, medido contra la ontología oficial, y qué le falta</w:t>
      </w:r>
    </w:p>
    <w:p>
      <w:pPr>
        <w:pStyle w:val="Heading1"/>
      </w:pPr>
      <w:r>
        <w:t xml:space="preserve">E1. Respuesta corta</w:t>
      </w:r>
    </w:p>
    <w:p>
      <w:pPr>
        <w:spacing w:after="120" w:line="276"/>
      </w:pPr>
      <w:r>
        <w:t xml:space="preserve">RICORA </w:t>
      </w:r>
      <w:r>
        <w:rPr>
          <w:b/>
          <w:bCs/>
        </w:rPr>
        <w:t xml:space="preserve">produce RiC conforme</w:t>
      </w:r>
      <w:r>
        <w:t xml:space="preserve">: todo lo que exporta existe en la ontología oficial, se valida contra el OWL y contra un perfil SHACL antes de salir, y cada descripción tiene una URI propia. Pero </w:t>
      </w:r>
      <w:r>
        <w:rPr>
          <w:b/>
          <w:bCs/>
        </w:rPr>
        <w:t xml:space="preserve">todavía no es nativo en RiC</w:t>
      </w:r>
      <w:r>
        <w:t xml:space="preserve">: por dentro sigue organizado como ISAD(G), por fondos y jerarquías, y el grafo RiC es una vista que se calcula al exportar.</w:t>
      </w:r>
    </w:p>
    <w:p>
      <w:pPr>
        <w:spacing w:after="120" w:line="276"/>
      </w:pPr>
      <w:r>
        <w:t xml:space="preserve">Las tres diferencias de fondo son:</w:t>
      </w:r>
    </w:p>
    <w:p>
      <w:pPr>
        <w:pStyle w:val="ListParagraph"/>
        <w:numPr>
          <w:ilvl w:val="0"/>
          <w:numId w:val="2"/>
        </w:numPr>
        <w:spacing w:after="60"/>
      </w:pPr>
      <w:r>
        <w:rPr>
          <w:b/>
          <w:bCs/>
        </w:rPr>
        <w:t xml:space="preserve">No recibe RiC, solo lo emite</w:t>
      </w:r>
      <w:r>
        <w:t xml:space="preserve"> (N1).</w:t>
      </w:r>
    </w:p>
    <w:p>
      <w:pPr>
        <w:pStyle w:val="ListParagraph"/>
        <w:numPr>
          <w:ilvl w:val="0"/>
          <w:numId w:val="2"/>
        </w:numPr>
        <w:spacing w:after="60"/>
      </w:pPr>
      <w:r>
        <w:rPr>
          <w:b/>
          <w:bCs/>
        </w:rPr>
        <w:t xml:space="preserve">El fondo parte todo el sistema</w:t>
      </w:r>
      <w:r>
        <w:t xml:space="preserve">: agentes, permisos y exportación (N2).</w:t>
      </w:r>
    </w:p>
    <w:p>
      <w:pPr>
        <w:pStyle w:val="ListParagraph"/>
        <w:numPr>
          <w:ilvl w:val="0"/>
          <w:numId w:val="2"/>
        </w:numPr>
        <w:spacing w:after="60"/>
      </w:pPr>
      <w:r>
        <w:rPr>
          <w:b/>
          <w:bCs/>
        </w:rPr>
        <w:t xml:space="preserve">El grafo no existe como tal</w:t>
      </w:r>
      <w:r>
        <w:t xml:space="preserve">: se genera al vuelo, fondo por fondo (N3).</w:t>
      </w:r>
    </w:p>
    <w:p>
      <w:pPr>
        <w:spacing w:after="120" w:line="276"/>
      </w:pPr>
      <w:r>
        <w:t xml:space="preserve">El resto (atributos, eventos, instrumentos, motor) es completar el modelo dentro de la arquitectura actual, y se puede hacer por partes.</w:t>
      </w:r>
    </w:p>
    <w:p>
      <w:pPr>
        <w:pStyle w:val="Heading1"/>
      </w:pPr>
      <w:r>
        <w:t xml:space="preserve">E2. Qué significa «nativo en RiC»</w:t>
      </w:r>
    </w:p>
    <w:p>
      <w:pPr>
        <w:spacing w:after="120" w:line="276"/>
      </w:pPr>
      <w:r>
        <w:t xml:space="preserve">Para que la afirmación se pueda verificar, este documento usa siete criterios. Un sistema es nativo en RiC cuando: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30"/>
        <w:gridCol w:w="3930"/>
      </w:tblGrid>
      <w:tr>
        <w:trPr>
          <w:tblHeader/>
        </w:trPr>
        <w:tc>
          <w:tcPr>
            <w:tcW w:type="dxa" w:w="5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w:t>
            </w:r>
          </w:p>
        </w:tc>
        <w:tc>
          <w:tcPr>
            <w:tcW w:type="dxa" w:w="493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Criterio</w:t>
            </w:r>
          </w:p>
        </w:tc>
        <w:tc>
          <w:tcPr>
            <w:tcW w:type="dxa" w:w="393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Estado en RICORA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Sus entidades (recursos, agentes, actividades, reglas, lugares, fechas) existen por sí mismas, no colgadas de un fondo.</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Parcial: existen como entidades, pero cada una pertenece a un fondo.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2</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Las relaciones son datos de primer nivel, con fechas, rol, fuente y certeza.</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Cumplido (desde el cierre de las brechas 1 y 2).</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3</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Admite procedencia múltiple: un agente en muchos fondos; un documento con varios productores.</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una autoridad por fondo.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Intercambia RiC en las dos direcciones.</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solo exporta.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5</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Permite consultar el grafo completo del acervo.</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SPARQL por fondo y en memoria.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6</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Cubre el modelo conceptual (entidades y atributos de RiC-CM).</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Alto en entidades, 29 de 42 atributos.</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7</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historia del documento y su descripción también son RiC (actividades, eventos, instrumentos).</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Parcial: está en PREMIS y en la auditoría, no en el grafo.</w:t>
            </w:r>
          </w:p>
        </w:tc>
      </w:tr>
    </w:tbl>
    <w:p>
      <w:pPr>
        <w:pStyle w:val="Heading1"/>
      </w:pPr>
      <w:r>
        <w:t xml:space="preserve">E3. Dónde está hoy: cifras medidas</w:t>
      </w:r>
    </w:p>
    <w:p>
      <w:pPr>
        <w:spacing w:after="120" w:line="276"/>
      </w:pPr>
      <w:r>
        <w:t xml:space="preserve">Términos de RiC-O 1.1 que salen de verdad en las exportaciones, medidos sobre la batería completa, antes y después de cerrar las brechas 1, 2, 3 y 8 de la auditoría de especialización (3 de octubre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300"/>
        <w:gridCol w:w="1300"/>
        <w:gridCol w:w="3400"/>
      </w:tblGrid>
      <w:tr>
        <w:trPr>
          <w:tblHeader/>
        </w:trPr>
        <w:tc>
          <w:tcPr>
            <w:tcW w:type="dxa" w:w="33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Medida</w:t>
            </w:r>
          </w:p>
        </w:tc>
        <w:tc>
          <w:tcPr>
            <w:tcW w:type="dxa" w:w="1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Antes</w:t>
            </w:r>
          </w:p>
        </w:tc>
        <w:tc>
          <w:tcPr>
            <w:tcW w:type="dxa" w:w="1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Ahora</w:t>
            </w:r>
          </w:p>
        </w:tc>
        <w:tc>
          <w:tcPr>
            <w:tcW w:type="dxa" w:w="34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Total en RiC-O 1.1</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Clases usadas</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36</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54</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107</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Clases de relación (rico:*Relation)</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9</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23</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49</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Propiedades de dato</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17</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27</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75</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Propiedades de objeto</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49</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53</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480 (muchas son inversas o variantes)</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Atributos de RiC-CM 1.0</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26</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29</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42 citados por el OWL</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Términos fuera de la ontología</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0</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0</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r>
    </w:tbl>
    <w:p>
      <w:pPr>
        <w:spacing w:before="120"/>
      </w:pPr>
      <w:r>
        <w:rPr>
          <w:i/>
          <w:iCs/>
        </w:rPr>
        <w:t xml:space="preserve">La cifra es un piso: lo que el sistema admite pero ninguna prueba ejerce no se cuenta. No hace falta llegar al 100 % de las propiedades de objeto; la mayoría son inversas de las que ya se usan.</w:t>
      </w:r>
    </w:p>
    <w:p>
      <w:pPr>
        <w:pStyle w:val="Heading3"/>
      </w:pPr>
      <w:r>
        <w:t xml:space="preserve">Dos aclaraciones que corrigen diagnósticos anteriores</w:t>
      </w:r>
    </w:p>
    <w:p>
      <w:pPr>
        <w:pStyle w:val="ListParagraph"/>
        <w:numPr>
          <w:ilvl w:val="0"/>
          <w:numId w:val="2"/>
        </w:numPr>
        <w:spacing w:after="60"/>
      </w:pPr>
      <w:r>
        <w:rPr>
          <w:rFonts w:ascii="Consolas" w:cs="Consolas" w:eastAsia="Consolas" w:hAnsi="Consolas"/>
          <w:color w:val="93437F"/>
          <w:sz w:val="20"/>
          <w:szCs w:val="20"/>
        </w:rPr>
        <w:t xml:space="preserve">SingleDate</w:t>
      </w:r>
      <w:r>
        <w:t xml:space="preserve">, </w:t>
      </w:r>
      <w:r>
        <w:rPr>
          <w:rFonts w:ascii="Consolas" w:cs="Consolas" w:eastAsia="Consolas" w:hAnsi="Consolas"/>
          <w:color w:val="93437F"/>
          <w:sz w:val="20"/>
          <w:szCs w:val="20"/>
        </w:rPr>
        <w:t xml:space="preserve">DateRange</w:t>
      </w:r>
      <w:r>
        <w:t xml:space="preserve"> y </w:t>
      </w:r>
      <w:r>
        <w:rPr>
          <w:rFonts w:ascii="Consolas" w:cs="Consolas" w:eastAsia="Consolas" w:hAnsi="Consolas"/>
          <w:color w:val="93437F"/>
          <w:sz w:val="20"/>
          <w:szCs w:val="20"/>
        </w:rPr>
        <w:t xml:space="preserve">DateSet</w:t>
      </w:r>
      <w:r>
        <w:t xml:space="preserve"> ya no existen en RiC-O 1.1: se retiraron el 22 de septiembre de 2023. Una fecha es una sola clase, </w:t>
      </w:r>
      <w:r>
        <w:rPr>
          <w:rFonts w:ascii="Consolas" w:cs="Consolas" w:eastAsia="Consolas" w:hAnsi="Consolas"/>
          <w:color w:val="93437F"/>
          <w:sz w:val="20"/>
          <w:szCs w:val="20"/>
        </w:rPr>
        <w:t xml:space="preserve">rico:Date</w:t>
      </w:r>
      <w:r>
        <w:t xml:space="preserve">, tipificada con </w:t>
      </w:r>
      <w:r>
        <w:rPr>
          <w:rFonts w:ascii="Consolas" w:cs="Consolas" w:eastAsia="Consolas" w:hAnsi="Consolas"/>
          <w:color w:val="93437F"/>
          <w:sz w:val="20"/>
          <w:szCs w:val="20"/>
        </w:rPr>
        <w:t xml:space="preserve">rico:DateType</w:t>
      </w:r>
      <w:r>
        <w:t xml:space="preserve">. RICORA ya lo hace.</w:t>
      </w:r>
    </w:p>
    <w:p>
      <w:pPr>
        <w:pStyle w:val="ListParagraph"/>
        <w:numPr>
          <w:ilvl w:val="0"/>
          <w:numId w:val="2"/>
        </w:numPr>
        <w:spacing w:after="60"/>
      </w:pPr>
      <w:r>
        <w:t xml:space="preserve">RiC-CM 1.0 no tiene entidades E19 a E21: la numeración salta de E18 (Fecha) a E22 (Lugar). La cobertura de entidades se cuenta sobre 19.</w:t>
      </w:r>
    </w:p>
    <w:p>
      <w:pPr>
        <w:pStyle w:val="Heading1"/>
      </w:pPr>
      <w:r>
        <w:t xml:space="preserve">E4. Los atributos de RiC-CM que faltan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760"/>
        <w:gridCol w:w="2400"/>
      </w:tblGrid>
      <w:tr>
        <w:trPr>
          <w:tblHeader/>
        </w:trPr>
        <w:tc>
          <w:tcPr>
            <w:tcW w:type="dxa" w:w="1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Atributo</w:t>
            </w:r>
          </w:p>
        </w:tc>
        <w:tc>
          <w:tcPr>
            <w:tcW w:type="dxa" w:w="2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Propiedad RiC-O</w:t>
            </w:r>
          </w:p>
        </w:tc>
        <w:tc>
          <w:tcPr>
            <w:tcW w:type="dxa" w:w="27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es en la práctica</w:t>
            </w:r>
          </w:p>
        </w:tc>
        <w:tc>
          <w:tcPr>
            <w:tcW w:type="dxa" w:w="24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Dónde iría en RICORA</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A04 Carrier Extent</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CarrierExtent</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Medidas y número de unidades físicas del soporte</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Original físico (instanciación)</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A07 Classification</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classification</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Clasificación según un esquema (cuadro de clasificación)</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 desde la TRD</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A10 Content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hasContentOfType → ContentType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Texto, imagen, mapa, sonido…</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 y parte documental</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A12 Corporate Body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hasOrHadCorporateBodyType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Alcaldía, notaría, junta, empresa…</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del agente</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A15 Demographic Group</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hasOrHadDemographicGroup</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Grupo demográfico de una persona o grupo</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del agente (con cuidado: dato sensible)</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A18 Event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hasEventType → EventType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Creación, reforma, traslado, supresión…</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Hitos de los agentes (hoy texto)</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A20 Family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hasFamilyType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Clan, linaje, familia nuclear…</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familia</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A24 Integrity Note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integrityNote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Completitud intelectual: «faltan los folios 12 a 15»</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 (no es la fijeza)</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A27 Location</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location (de Place)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Dirección o delimitación de un lugar</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ampliada del lugar</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A30 Occupation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hasOrHadOccupationOfType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Oficio o profesión de una persona</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persona</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A33 Production Technique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hasProductionTechniqueType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Manuscrito, mecanografiado, impreso, digitalizado…</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Instanciación</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A37 Representation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hasRepresentationType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Analógica, digital nativa, digitalizada</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Instanciación</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A39 State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hasRecordState → RecordState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Original, copia, borrador (tradición documental)</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 (no el estado de la ficha)</w:t>
            </w:r>
          </w:p>
        </w:tc>
      </w:tr>
    </w:tbl>
    <w:p>
      <w:pPr>
        <w:pStyle w:val="Heading1"/>
      </w:pPr>
      <w:r>
        <w:t xml:space="preserve">E5. Brechas y qué agregar</w:t>
      </w:r>
    </w:p>
    <w:p>
      <w:pPr>
        <w:spacing w:after="120" w:line="276"/>
      </w:pPr>
      <w:r>
        <w:t xml:space="preserve">Cada brecha dice qué falta, por qué importa en RiC, qué agregarle al sistema y cómo comprobar que quedó resuelta con una prueba automática, como en los cierres anteriores.</w:t>
      </w:r>
    </w:p>
    <w:p>
      <w:pPr>
        <w:pStyle w:val="Heading2"/>
      </w:pPr>
      <w:r>
        <w:t xml:space="preserve">N1 · Recibir RiC, no solo emitirlo (importación de RiC-O, EAD3 y EAC-CPF)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Alta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Alto (3–4 bloques)</w:t>
            </w:r>
          </w:p>
        </w:tc>
      </w:tr>
    </w:tbl>
    <w:p>
      <w:pPr>
        <w:spacing w:after="100" w:before="120"/>
      </w:pPr>
      <w:r>
        <w:rPr>
          <w:b/>
          <w:bCs/>
        </w:rPr>
        <w:t xml:space="preserve">Qué falta. </w:t>
      </w:r>
      <w:r>
        <w:t xml:space="preserve">RICORA exporta RiC-O conforme, pero no importa nada. Un grafo RiC de otra institución, o una exportación de RICORA de otro servidor, no se puede cargar. El sistema es un callejón de salida.</w:t>
      </w:r>
    </w:p>
    <w:p>
      <w:pPr>
        <w:spacing w:after="120" w:line="276"/>
      </w:pPr>
      <w:r>
        <w:rPr>
          <w:b/>
          <w:bCs/>
        </w:rPr>
        <w:t xml:space="preserve">Por qué importa en RiC. </w:t>
      </w:r>
      <w:r>
        <w:t xml:space="preserve">Un sistema especializado en RiC intercambia en las dos direcciones. Si el ida y vuelta no funciona, la conformidad de la exportación es una garantía a medias: nadie comprueba que lo exportado se pueda volver a leer.</w:t>
      </w:r>
    </w:p>
    <w:p>
      <w:pPr>
        <w:spacing w:after="120" w:line="276"/>
      </w:pPr>
      <w:r>
        <w:rPr>
          <w:b/>
          <w:bCs/>
        </w:rPr>
        <w:t xml:space="preserve">Qué agregarle a RICORA:</w:t>
      </w:r>
    </w:p>
    <w:p>
      <w:pPr>
        <w:pStyle w:val="ListParagraph"/>
        <w:numPr>
          <w:ilvl w:val="0"/>
          <w:numId w:val="4"/>
        </w:numPr>
        <w:spacing w:after="60"/>
      </w:pPr>
      <w:r>
        <w:t xml:space="preserve">Un servicio de importación que lea Turtle o JSON-LD, valide contra el OWL y el perfil SHACL, y rechace lo que no pase, con el informe de por qué.</w:t>
      </w:r>
    </w:p>
    <w:p>
      <w:pPr>
        <w:pStyle w:val="ListParagraph"/>
        <w:numPr>
          <w:ilvl w:val="0"/>
          <w:numId w:val="4"/>
        </w:numPr>
        <w:spacing w:after="60"/>
      </w:pPr>
      <w:r>
        <w:t xml:space="preserve">El mapeo inverso a partir del mapeo único (app/servicios/ric_o.py): cada clase y propiedad RiC-O, a su tabla y su campo.</w:t>
      </w:r>
    </w:p>
    <w:p>
      <w:pPr>
        <w:pStyle w:val="ListParagraph"/>
        <w:numPr>
          <w:ilvl w:val="0"/>
          <w:numId w:val="4"/>
        </w:numPr>
        <w:spacing w:after="60"/>
      </w:pPr>
      <w:r>
        <w:t xml:space="preserve">Reconciliación con el vocabulario del fondo: por identificador externo (Wikidata, VIAF), por owl:sameAs y por parecido de nombre, con las mismas sugerencias de fusión que ya existen.</w:t>
      </w:r>
    </w:p>
    <w:p>
      <w:pPr>
        <w:pStyle w:val="ListParagraph"/>
        <w:numPr>
          <w:ilvl w:val="0"/>
          <w:numId w:val="4"/>
        </w:numPr>
        <w:spacing w:after="60"/>
      </w:pPr>
      <w:r>
        <w:t xml:space="preserve">Modo de ensayo (dry-run): un informe de qué se crearía, qué se reutilizaría y qué se descartaría, antes de escribir nada.</w:t>
      </w:r>
    </w:p>
    <w:p>
      <w:pPr>
        <w:pStyle w:val="ListParagraph"/>
        <w:numPr>
          <w:ilvl w:val="0"/>
          <w:numId w:val="4"/>
        </w:numPr>
        <w:spacing w:after="60"/>
      </w:pPr>
      <w:r>
        <w:t xml:space="preserve">Procedencia de lo importado: «importado de &lt;fuente&gt; el &lt;fecha&gt;», visible en la ficha y en la auditoría.</w:t>
      </w:r>
    </w:p>
    <w:p>
      <w:pPr>
        <w:pStyle w:val="ListParagraph"/>
        <w:numPr>
          <w:ilvl w:val="0"/>
          <w:numId w:val="4"/>
        </w:numPr>
        <w:spacing w:after="60"/>
      </w:pPr>
      <w:r>
        <w:t xml:space="preserve">Después, EAD3 y EAC-CPF de entrada, con los mismos esquemas XSD que ya validan la salida.</w:t>
      </w:r>
    </w:p>
    <w:p>
      <w:pPr>
        <w:spacing w:after="200" w:before="100"/>
      </w:pPr>
      <w:r>
        <w:rPr>
          <w:b/>
          <w:bCs/>
        </w:rPr>
        <w:t xml:space="preserve">Cómo se sabrá que quedó: </w:t>
      </w:r>
      <w:r>
        <w:t xml:space="preserve">Exportar un fondo, importarlo en una base vacía y volver a exportarlo produce un grafo isomorfo al primero (prueba automática).</w:t>
      </w:r>
    </w:p>
    <w:p>
      <w:pPr>
        <w:pStyle w:val="Heading2"/>
      </w:pPr>
      <w:r>
        <w:t xml:space="preserve">N2 · Agentes y procedencia compartidos entre fondos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Alta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Alto (3 bloques; toca la arquitectura)</w:t>
            </w:r>
          </w:p>
        </w:tc>
      </w:tr>
    </w:tbl>
    <w:p>
      <w:pPr>
        <w:spacing w:after="100" w:before="120"/>
      </w:pPr>
      <w:r>
        <w:rPr>
          <w:b/>
          <w:bCs/>
        </w:rPr>
        <w:t xml:space="preserve">Qué falta. </w:t>
      </w:r>
      <w:r>
        <w:t xml:space="preserve">Cada fondo tiene su propio vocabulario (decisión VOC-05). La misma alcaldía, la misma persona o el mismo cargo se describen una vez por fondo, y solo owl:sameAs los une en el RDF.</w:t>
      </w:r>
    </w:p>
    <w:p>
      <w:pPr>
        <w:spacing w:after="120" w:line="276"/>
      </w:pPr>
      <w:r>
        <w:rPr>
          <w:b/>
          <w:bCs/>
        </w:rPr>
        <w:t xml:space="preserve">Por qué importa en RiC. </w:t>
      </w:r>
      <w:r>
        <w:t xml:space="preserve">RiC nace para la procedencia múltiple: un agente actúa en muchos fondos y un documento puede tener varios productores. Partir el mundo por fondos es la lógica de ISAD(G), no la de RiC.</w:t>
      </w:r>
    </w:p>
    <w:p>
      <w:pPr>
        <w:spacing w:after="120" w:line="276"/>
      </w:pPr>
      <w:r>
        <w:rPr>
          <w:b/>
          <w:bCs/>
        </w:rPr>
        <w:t xml:space="preserve">Qué agregarle a RICORA:</w:t>
      </w:r>
    </w:p>
    <w:p>
      <w:pPr>
        <w:pStyle w:val="ListParagraph"/>
        <w:numPr>
          <w:ilvl w:val="0"/>
          <w:numId w:val="5"/>
        </w:numPr>
        <w:spacing w:after="60"/>
      </w:pPr>
      <w:r>
        <w:t xml:space="preserve">Un vocabulario institucional: autoridades de la institución, reutilizables por todos sus fondos, con permisos por fondo para enriquecerlas.</w:t>
      </w:r>
    </w:p>
    <w:p>
      <w:pPr>
        <w:pStyle w:val="ListParagraph"/>
        <w:numPr>
          <w:ilvl w:val="0"/>
          <w:numId w:val="5"/>
        </w:numPr>
        <w:spacing w:after="60"/>
      </w:pPr>
      <w:r>
        <w:t xml:space="preserve">Migración de los duplicados existentes con la fusión que ya conserva identificadores y redirige las URI.</w:t>
      </w:r>
    </w:p>
    <w:p>
      <w:pPr>
        <w:pStyle w:val="ListParagraph"/>
        <w:numPr>
          <w:ilvl w:val="0"/>
          <w:numId w:val="5"/>
        </w:numPr>
        <w:spacing w:after="60"/>
      </w:pPr>
      <w:r>
        <w:t xml:space="preserve">Exportación de un fondo que incluya los agentes institucionales que cita, con una sola URI por agente.</w:t>
      </w:r>
    </w:p>
    <w:p>
      <w:pPr>
        <w:pStyle w:val="ListParagraph"/>
        <w:numPr>
          <w:ilvl w:val="0"/>
          <w:numId w:val="5"/>
        </w:numPr>
        <w:spacing w:after="60"/>
      </w:pPr>
      <w:r>
        <w:t xml:space="preserve">Reglas de acceso (Ley 1712) que sigan funcionando cuando un agente aparece en un fondo público y en uno reservado.</w:t>
      </w:r>
    </w:p>
    <w:p>
      <w:pPr>
        <w:spacing w:after="200" w:before="100"/>
      </w:pPr>
      <w:r>
        <w:rPr>
          <w:b/>
          <w:bCs/>
        </w:rPr>
        <w:t xml:space="preserve">Cómo se sabrá que quedó: </w:t>
      </w:r>
      <w:r>
        <w:t xml:space="preserve">Un mismo agente citado desde dos fondos tiene una sola URI, y ninguna exportación revela lo reservado de un fondo a través del agente compartido.</w:t>
      </w:r>
    </w:p>
    <w:p>
      <w:pPr>
        <w:pStyle w:val="Heading2"/>
      </w:pPr>
      <w:r>
        <w:t xml:space="preserve">N3 · Grafo persistente y consulta entre fondos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Media-alta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Medio-alto (2 bloques)</w:t>
            </w:r>
          </w:p>
        </w:tc>
      </w:tr>
    </w:tbl>
    <w:p>
      <w:pPr>
        <w:spacing w:after="100" w:before="120"/>
      </w:pPr>
      <w:r>
        <w:rPr>
          <w:b/>
          <w:bCs/>
        </w:rPr>
        <w:t xml:space="preserve">Qué falta. </w:t>
      </w:r>
      <w:r>
        <w:t xml:space="preserve">El grafo RiC se genera al vuelo desde PostgreSQL, fondo por fondo. El SPARQL corre en memoria sobre un solo fondo, con límites de tiempo y resultados.</w:t>
      </w:r>
    </w:p>
    <w:p>
      <w:pPr>
        <w:spacing w:after="120" w:line="276"/>
      </w:pPr>
      <w:r>
        <w:rPr>
          <w:b/>
          <w:bCs/>
        </w:rPr>
        <w:t xml:space="preserve">Por qué importa en RiC. </w:t>
      </w:r>
      <w:r>
        <w:t xml:space="preserve">La promesa de RiC es la navegación por relaciones a través de todo el acervo: «todo lo que produjo este cargo en cualquier fondo», «quién ocupó este cargo y qué firmó». Sin un grafo persistente, esa pregunta no tiene dónde hacerse.</w:t>
      </w:r>
    </w:p>
    <w:p>
      <w:pPr>
        <w:spacing w:after="120" w:line="276"/>
      </w:pPr>
      <w:r>
        <w:rPr>
          <w:b/>
          <w:bCs/>
        </w:rPr>
        <w:t xml:space="preserve">Qué agregarle a RICORA:</w:t>
      </w:r>
    </w:p>
    <w:p>
      <w:pPr>
        <w:pStyle w:val="ListParagraph"/>
        <w:numPr>
          <w:ilvl w:val="0"/>
          <w:numId w:val="6"/>
        </w:numPr>
        <w:spacing w:after="60"/>
      </w:pPr>
      <w:r>
        <w:t xml:space="preserve">Un almacén de tripletas gratuito (Oxigraph, de código abierto) con un grafo con nombre por fondo.</w:t>
      </w:r>
    </w:p>
    <w:p>
      <w:pPr>
        <w:pStyle w:val="ListParagraph"/>
        <w:numPr>
          <w:ilvl w:val="0"/>
          <w:numId w:val="6"/>
        </w:numPr>
        <w:spacing w:after="60"/>
      </w:pPr>
      <w:r>
        <w:t xml:space="preserve">Sincronización al publicar, corregir o fusionar (la exportación ya es la fuente única), con una tarea que reconstruye todo y compara.</w:t>
      </w:r>
    </w:p>
    <w:p>
      <w:pPr>
        <w:pStyle w:val="ListParagraph"/>
        <w:numPr>
          <w:ilvl w:val="0"/>
          <w:numId w:val="6"/>
        </w:numPr>
        <w:spacing w:after="60"/>
      </w:pPr>
      <w:r>
        <w:t xml:space="preserve">Un punto SPARQL institucional que aplique el mismo filtro de la Ley 1712 que ya usan los datos abiertos.</w:t>
      </w:r>
    </w:p>
    <w:p>
      <w:pPr>
        <w:spacing w:after="200" w:before="100"/>
      </w:pPr>
      <w:r>
        <w:rPr>
          <w:b/>
          <w:bCs/>
        </w:rPr>
        <w:t xml:space="preserve">Cómo se sabrá que quedó: </w:t>
      </w:r>
      <w:r>
        <w:t xml:space="preserve">Una consulta SPARQL entre dos fondos responde en menos de 2 segundos y nunca devuelve una descripción reservada.</w:t>
      </w:r>
    </w:p>
    <w:p>
      <w:pPr>
        <w:pStyle w:val="Heading2"/>
      </w:pPr>
      <w:r>
        <w:t xml:space="preserve">N4 · Los 13 atributos de RiC-CM que faltan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Medio (2 bloques; casi todo es un vocabulario SKOS más un campo)</w:t>
            </w:r>
          </w:p>
        </w:tc>
      </w:tr>
    </w:tbl>
    <w:p>
      <w:pPr>
        <w:spacing w:after="100" w:before="120"/>
      </w:pPr>
      <w:r>
        <w:rPr>
          <w:b/>
          <w:bCs/>
        </w:rPr>
        <w:t xml:space="preserve">Qué falta. </w:t>
      </w:r>
      <w:r>
        <w:t xml:space="preserve">El OWL de RiC-O 1.1 remite a 42 atributos (A01 a A45; no cita A06, A14 ni A16). RICORA cubre 29. Los 13 que faltan se listan en la tabla de la sección E4.</w:t>
      </w:r>
    </w:p>
    <w:p>
      <w:pPr>
        <w:spacing w:after="120" w:line="276"/>
      </w:pPr>
      <w:r>
        <w:rPr>
          <w:b/>
          <w:bCs/>
        </w:rPr>
        <w:t xml:space="preserve">Por qué importa en RiC. </w:t>
      </w:r>
      <w:r>
        <w:t xml:space="preserve">Son los que permiten clasificar y filtrar sin texto libre: qué tipo de entidad es, qué tipo de evento, si un documento es original o copia, si un expediente está completo.</w:t>
      </w:r>
    </w:p>
    <w:p>
      <w:pPr>
        <w:spacing w:after="120" w:line="276"/>
      </w:pPr>
      <w:r>
        <w:rPr>
          <w:b/>
          <w:bCs/>
        </w:rPr>
        <w:t xml:space="preserve">Qué agregarle a RICORA:</w:t>
      </w:r>
    </w:p>
    <w:p>
      <w:pPr>
        <w:pStyle w:val="ListParagraph"/>
        <w:numPr>
          <w:ilvl w:val="0"/>
          <w:numId w:val="7"/>
        </w:numPr>
        <w:spacing w:after="60"/>
      </w:pPr>
      <w:r>
        <w:t xml:space="preserve">Un vocabulario SKOS por fondo para cada tipología, editable como los que ya existen (formas documentales, tipos de actividad).</w:t>
      </w:r>
    </w:p>
    <w:p>
      <w:pPr>
        <w:pStyle w:val="ListParagraph"/>
        <w:numPr>
          <w:ilvl w:val="0"/>
          <w:numId w:val="7"/>
        </w:numPr>
        <w:spacing w:after="60"/>
      </w:pPr>
      <w:r>
        <w:t xml:space="preserve">El campo en el formulario correspondiente, el mapeo en ric_o.py, la forma SHACL y una prueba por atributo.</w:t>
      </w:r>
    </w:p>
    <w:p>
      <w:pPr>
        <w:pStyle w:val="ListParagraph"/>
        <w:numPr>
          <w:ilvl w:val="0"/>
          <w:numId w:val="7"/>
        </w:numPr>
        <w:spacing w:after="60"/>
      </w:pPr>
      <w:r>
        <w:t xml:space="preserve">Precaución: dos de ellos tienen trampa. «Location» (A27) es una propiedad de Place, no del documento, y «State» (A39) es el estado de producción del documento (original, copia, borrador), no el de la ficha.</w:t>
      </w:r>
    </w:p>
    <w:p>
      <w:pPr>
        <w:spacing w:after="200" w:before="100"/>
      </w:pPr>
      <w:r>
        <w:rPr>
          <w:b/>
          <w:bCs/>
        </w:rPr>
        <w:t xml:space="preserve">Cómo se sabrá que quedó: </w:t>
      </w:r>
      <w:r>
        <w:t xml:space="preserve">verificar_contra_owl() sin problemas y cobertura de atributos 42/42 en la prueba de cobertura.</w:t>
      </w:r>
    </w:p>
    <w:p>
      <w:pPr>
        <w:pStyle w:val="Heading2"/>
      </w:pPr>
      <w:r>
        <w:t xml:space="preserve">N5 · El ciclo de vida como Actividades y Eventos 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Medio (1–2 bloques)</w:t>
            </w:r>
          </w:p>
        </w:tc>
      </w:tr>
    </w:tbl>
    <w:p>
      <w:pPr>
        <w:spacing w:after="100" w:before="120"/>
      </w:pPr>
      <w:r>
        <w:rPr>
          <w:b/>
          <w:bCs/>
        </w:rPr>
        <w:t xml:space="preserve">Qué falta. </w:t>
      </w:r>
      <w:r>
        <w:t xml:space="preserve">Las transferencias (lotes), las eliminaciones por TRD, las migraciones y las acumulaciones existen en el sistema, pero salen en RiC solo como acciones técnicas de preservación (PREMIS) o no salen.</w:t>
      </w:r>
    </w:p>
    <w:p>
      <w:pPr>
        <w:spacing w:after="120" w:line="276"/>
      </w:pPr>
      <w:r>
        <w:rPr>
          <w:b/>
          <w:bCs/>
        </w:rPr>
        <w:t xml:space="preserve">Por qué importa en RiC. </w:t>
      </w:r>
      <w:r>
        <w:t xml:space="preserve">En RiC, la historia del documento es un conjunto de actividades con agentes, fechas y lugares. Una transferencia primaria entre el archivo de gestión y el central es exactamente eso, y hoy no se ve en el grafo.</w:t>
      </w:r>
    </w:p>
    <w:p>
      <w:pPr>
        <w:spacing w:after="120" w:line="276"/>
      </w:pPr>
      <w:r>
        <w:rPr>
          <w:b/>
          <w:bCs/>
        </w:rPr>
        <w:t xml:space="preserve">Qué agregarle a RICORA:</w:t>
      </w:r>
    </w:p>
    <w:p>
      <w:pPr>
        <w:pStyle w:val="ListParagraph"/>
        <w:numPr>
          <w:ilvl w:val="0"/>
          <w:numId w:val="8"/>
        </w:numPr>
        <w:spacing w:after="60"/>
      </w:pPr>
      <w:r>
        <w:t xml:space="preserve">Cada lote de transferencia como rico:Activity, con remitente, receptor, fecha, documentos afectados (rico:affectsOrAffected) y su acta como documento que la registra.</w:t>
      </w:r>
    </w:p>
    <w:p>
      <w:pPr>
        <w:pStyle w:val="ListParagraph"/>
        <w:numPr>
          <w:ilvl w:val="0"/>
          <w:numId w:val="8"/>
        </w:numPr>
        <w:spacing w:after="60"/>
      </w:pPr>
      <w:r>
        <w:t xml:space="preserve">La disposición final (conservación, selección, eliminación) como actividad regulada por la regla de retención (rico:regulatesOrRegulated).</w:t>
      </w:r>
    </w:p>
    <w:p>
      <w:pPr>
        <w:pStyle w:val="ListParagraph"/>
        <w:numPr>
          <w:ilvl w:val="0"/>
          <w:numId w:val="8"/>
        </w:numPr>
        <w:spacing w:after="60"/>
      </w:pPr>
      <w:r>
        <w:t xml:space="preserve">rico:hasAccumulationDate para los fondos y series acumulados.</w:t>
      </w:r>
    </w:p>
    <w:p>
      <w:pPr>
        <w:spacing w:after="200" w:before="100"/>
      </w:pPr>
      <w:r>
        <w:rPr>
          <w:b/>
          <w:bCs/>
        </w:rPr>
        <w:t xml:space="preserve">Cómo se sabrá que quedó: </w:t>
      </w:r>
      <w:r>
        <w:t xml:space="preserve">Una consulta al grafo responde «quién transfirió esta serie, cuándo y con qué acta» sin leer la base.</w:t>
      </w:r>
    </w:p>
    <w:p>
      <w:pPr>
        <w:pStyle w:val="Heading2"/>
      </w:pPr>
      <w:r>
        <w:t xml:space="preserve">N6 · Los instrumentos de descripción como recursos documentales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Bajo-medio (1 bloque)</w:t>
            </w:r>
          </w:p>
        </w:tc>
      </w:tr>
    </w:tbl>
    <w:p>
      <w:pPr>
        <w:spacing w:after="100" w:before="120"/>
      </w:pPr>
      <w:r>
        <w:rPr>
          <w:b/>
          <w:bCs/>
        </w:rPr>
        <w:t xml:space="preserve">Qué falta. </w:t>
      </w:r>
      <w:r>
        <w:t xml:space="preserve">El FUID, la guía y los inventarios se generan, pero en RiC no existen: nada dice que «el inventario de 2026 describe la serie X».</w:t>
      </w:r>
    </w:p>
    <w:p>
      <w:pPr>
        <w:spacing w:after="120" w:line="276"/>
      </w:pPr>
      <w:r>
        <w:rPr>
          <w:b/>
          <w:bCs/>
        </w:rPr>
        <w:t xml:space="preserve">Por qué importa en RiC. </w:t>
      </w:r>
      <w:r>
        <w:t xml:space="preserve">En RiC, la descripción también es un recurso documental con autor y fecha (rico:describesOrDescribed). Es la forma de dejar constancia de qué instrumento estaba vigente y de quién lo hizo.</w:t>
      </w:r>
    </w:p>
    <w:p>
      <w:pPr>
        <w:spacing w:after="120" w:line="276"/>
      </w:pPr>
      <w:r>
        <w:rPr>
          <w:b/>
          <w:bCs/>
        </w:rPr>
        <w:t xml:space="preserve">Qué agregarle a RICORA:</w:t>
      </w:r>
    </w:p>
    <w:p>
      <w:pPr>
        <w:pStyle w:val="ListParagraph"/>
        <w:numPr>
          <w:ilvl w:val="0"/>
          <w:numId w:val="9"/>
        </w:numPr>
        <w:spacing w:after="60"/>
      </w:pPr>
      <w:r>
        <w:t xml:space="preserve">Cada instrumento generado y firmado como rico:Record, con su forma documental («inventario documental», «guía»), su autor, su fecha y la relación describesOrDescribed hacia lo que describe.</w:t>
      </w:r>
    </w:p>
    <w:p>
      <w:pPr>
        <w:pStyle w:val="ListParagraph"/>
        <w:numPr>
          <w:ilvl w:val="0"/>
          <w:numId w:val="9"/>
        </w:numPr>
        <w:spacing w:after="60"/>
      </w:pPr>
      <w:r>
        <w:t xml:space="preserve">Sus versiones sucesivas enlazadas con precedesOrPreceded.</w:t>
      </w:r>
    </w:p>
    <w:p>
      <w:pPr>
        <w:spacing w:after="200" w:before="100"/>
      </w:pPr>
      <w:r>
        <w:rPr>
          <w:b/>
          <w:bCs/>
        </w:rPr>
        <w:t xml:space="preserve">Cómo se sabrá que quedó: </w:t>
      </w:r>
      <w:r>
        <w:t xml:space="preserve">El grafo responde «qué instrumento describía este expediente en tal fecha».</w:t>
      </w:r>
    </w:p>
    <w:p>
      <w:pPr>
        <w:pStyle w:val="Heading2"/>
      </w:pPr>
      <w:r>
        <w:t xml:space="preserve">N7 · Un documento en varias agrupaciones con su propio orden (rico:Proxy)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Bajo (½ bloque)</w:t>
            </w:r>
          </w:p>
        </w:tc>
      </w:tr>
    </w:tbl>
    <w:p>
      <w:pPr>
        <w:spacing w:after="100" w:before="120"/>
      </w:pPr>
      <w:r>
        <w:rPr>
          <w:b/>
          <w:bCs/>
        </w:rPr>
        <w:t xml:space="preserve">Qué falta. </w:t>
      </w:r>
      <w:r>
        <w:t xml:space="preserve">La inclusión adicional (CM-21) ya permite que un documento esté en otra agrupación, pero no con una posición propia dentro de ella.</w:t>
      </w:r>
    </w:p>
    <w:p>
      <w:pPr>
        <w:spacing w:after="120" w:line="276"/>
      </w:pPr>
      <w:r>
        <w:rPr>
          <w:b/>
          <w:bCs/>
        </w:rPr>
        <w:t xml:space="preserve">Por qué importa en RiC. </w:t>
      </w:r>
      <w:r>
        <w:t xml:space="preserve">rico:Proxy representa el documento «tal como está» dentro de otra agrupación: su orden, su número de folio en esa unidad.</w:t>
      </w:r>
    </w:p>
    <w:p>
      <w:pPr>
        <w:spacing w:after="120" w:line="276"/>
      </w:pPr>
      <w:r>
        <w:rPr>
          <w:b/>
          <w:bCs/>
        </w:rPr>
        <w:t xml:space="preserve">Qué agregarle a RICORA:</w:t>
      </w:r>
    </w:p>
    <w:p>
      <w:pPr>
        <w:pStyle w:val="ListParagraph"/>
        <w:numPr>
          <w:ilvl w:val="0"/>
          <w:numId w:val="10"/>
        </w:numPr>
        <w:spacing w:after="60"/>
      </w:pPr>
      <w:r>
        <w:t xml:space="preserve">Un nodo Proxy por cada inclusión adicional, con su secuencia (rankInSequence).</w:t>
      </w:r>
    </w:p>
    <w:p>
      <w:pPr>
        <w:spacing w:after="200" w:before="100"/>
      </w:pPr>
      <w:r>
        <w:rPr>
          <w:b/>
          <w:bCs/>
        </w:rPr>
        <w:t xml:space="preserve">Cómo se sabrá que quedó: </w:t>
      </w:r>
      <w:r>
        <w:t xml:space="preserve">Un documento en dos expedientes tiene un orden distinto en cada uno, y los dos se exportan.</w:t>
      </w:r>
    </w:p>
    <w:p>
      <w:pPr>
        <w:pStyle w:val="Heading2"/>
      </w:pPr>
      <w:r>
        <w:t xml:space="preserve">N8 · El motor de análisis, consciente de 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Medio (1 bloque más la evaluación)</w:t>
            </w:r>
          </w:p>
        </w:tc>
      </w:tr>
    </w:tbl>
    <w:p>
      <w:pPr>
        <w:spacing w:after="100" w:before="120"/>
      </w:pPr>
      <w:r>
        <w:rPr>
          <w:b/>
          <w:bCs/>
        </w:rPr>
        <w:t xml:space="preserve">Qué falta. </w:t>
      </w:r>
      <w:r>
        <w:t xml:space="preserve">El motor propone productor, remitente, destinatario, mencionados, lugares, fechas y actividades. No propone autor, acumulador, eventos, tipologías ni la certeza que RiC ahora exporta.</w:t>
      </w:r>
    </w:p>
    <w:p>
      <w:pPr>
        <w:spacing w:after="120" w:line="276"/>
      </w:pPr>
      <w:r>
        <w:rPr>
          <w:b/>
          <w:bCs/>
        </w:rPr>
        <w:t xml:space="preserve">Por qué importa en RiC. </w:t>
      </w:r>
      <w:r>
        <w:t xml:space="preserve">Si la tesis evalúa la descripción asistida, el motor debe proponer lo que el modelo RiC del sistema ya sabe guardar; si no, la evaluación mide un subconjunto.</w:t>
      </w:r>
    </w:p>
    <w:p>
      <w:pPr>
        <w:spacing w:after="120" w:line="276"/>
      </w:pPr>
      <w:r>
        <w:rPr>
          <w:b/>
          <w:bCs/>
        </w:rPr>
        <w:t xml:space="preserve">Qué agregarle a RICORA:</w:t>
      </w:r>
    </w:p>
    <w:p>
      <w:pPr>
        <w:pStyle w:val="ListParagraph"/>
        <w:numPr>
          <w:ilvl w:val="0"/>
          <w:numId w:val="11"/>
        </w:numPr>
        <w:spacing w:after="60"/>
      </w:pPr>
      <w:r>
        <w:t xml:space="preserve">Roles autor y acumulador en las instrucciones y en la validación de la propuesta, con el dominio de RiC-O (autor: solo persona, grupo o cargo).</w:t>
      </w:r>
    </w:p>
    <w:p>
      <w:pPr>
        <w:pStyle w:val="ListParagraph"/>
        <w:numPr>
          <w:ilvl w:val="0"/>
          <w:numId w:val="11"/>
        </w:numPr>
        <w:spacing w:after="60"/>
      </w:pPr>
      <w:r>
        <w:t xml:space="preserve">Propuesta de tipologías (A12, A18, A30) cuando se agreguen (N4).</w:t>
      </w:r>
    </w:p>
    <w:p>
      <w:pPr>
        <w:pStyle w:val="ListParagraph"/>
        <w:numPr>
          <w:ilvl w:val="0"/>
          <w:numId w:val="11"/>
        </w:numPr>
        <w:spacing w:after="60"/>
      </w:pPr>
      <w:r>
        <w:t xml:space="preserve">Una nueva versión etiquetada de las instrucciones y su evaluación ciega en el módulo de evaluación.</w:t>
      </w:r>
    </w:p>
    <w:p>
      <w:pPr>
        <w:spacing w:after="200" w:before="100"/>
      </w:pPr>
      <w:r>
        <w:rPr>
          <w:b/>
          <w:bCs/>
        </w:rPr>
        <w:t xml:space="preserve">Cómo se sabrá que quedó: </w:t>
      </w:r>
      <w:r>
        <w:t xml:space="preserve">La evaluación ciega reporta precisión y exhaustividad por rol, incluidos autor y acumulador.</w:t>
      </w:r>
    </w:p>
    <w:p>
      <w:pPr>
        <w:pStyle w:val="Heading2"/>
      </w:pPr>
      <w:r>
        <w:t xml:space="preserve">N9 · Calendario declarado en la fecha expresada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Bajo</w:t>
            </w:r>
          </w:p>
        </w:tc>
      </w:tr>
    </w:tbl>
    <w:p>
      <w:pPr>
        <w:spacing w:after="100" w:before="120"/>
      </w:pPr>
      <w:r>
        <w:rPr>
          <w:b/>
          <w:bCs/>
        </w:rPr>
        <w:t xml:space="preserve">Qué falta. </w:t>
      </w:r>
      <w:r>
        <w:t xml:space="preserve">Una fecha en calendario juliano se omite y se cuenta como no exportable.</w:t>
      </w:r>
    </w:p>
    <w:p>
      <w:pPr>
        <w:spacing w:after="120" w:line="276"/>
      </w:pPr>
      <w:r>
        <w:rPr>
          <w:b/>
          <w:bCs/>
        </w:rPr>
        <w:t xml:space="preserve">Por qué importa en RiC. </w:t>
      </w:r>
      <w:r>
        <w:t xml:space="preserve">La definición de rico:expressedDate pide incluir el calendario usado para que la fecha se entienda.</w:t>
      </w:r>
    </w:p>
    <w:p>
      <w:pPr>
        <w:spacing w:after="120" w:line="276"/>
      </w:pPr>
      <w:r>
        <w:rPr>
          <w:b/>
          <w:bCs/>
        </w:rPr>
        <w:t xml:space="preserve">Qué agregarle a RICORA:</w:t>
      </w:r>
    </w:p>
    <w:p>
      <w:pPr>
        <w:pStyle w:val="ListParagraph"/>
        <w:numPr>
          <w:ilvl w:val="0"/>
          <w:numId w:val="12"/>
        </w:numPr>
        <w:spacing w:after="60"/>
      </w:pPr>
      <w:r>
        <w:t xml:space="preserve">Exportar la fecha con su calendario en la expresión, por ejemplo «8 de marzo de 1548 (calendario juliano)», sin forma normalizada gregoriana inventada.</w:t>
      </w:r>
    </w:p>
    <w:p>
      <w:pPr>
        <w:spacing w:after="200" w:before="100"/>
      </w:pPr>
      <w:r>
        <w:rPr>
          <w:b/>
          <w:bCs/>
        </w:rPr>
        <w:t xml:space="preserve">Cómo se sabrá que quedó: </w:t>
      </w:r>
      <w:r>
        <w:t xml:space="preserve">Ninguna fecha omitida por su calendario en el reporte de conformidad.</w:t>
      </w:r>
    </w:p>
    <w:p>
      <w:pPr>
        <w:pStyle w:val="Heading2"/>
      </w:pPr>
      <w:r>
        <w:t xml:space="preserve">N10 · Identificadores persistentes y publicación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 (decisión de la autora)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Bajo en código; depende de infraestructura</w:t>
            </w:r>
          </w:p>
        </w:tc>
      </w:tr>
    </w:tbl>
    <w:p>
      <w:pPr>
        <w:spacing w:after="100" w:before="120"/>
      </w:pPr>
      <w:r>
        <w:rPr>
          <w:b/>
          <w:bCs/>
        </w:rPr>
        <w:t xml:space="preserve">Qué falta. </w:t>
      </w:r>
      <w:r>
        <w:t xml:space="preserve">Las URI existen y se resuelven, pero la publicación sin sesión está apagada (decisión INS-01) y no hay dominio ni HTTPS definitivos.</w:t>
      </w:r>
    </w:p>
    <w:p>
      <w:pPr>
        <w:spacing w:after="120" w:line="276"/>
      </w:pPr>
      <w:r>
        <w:rPr>
          <w:b/>
          <w:bCs/>
        </w:rPr>
        <w:t xml:space="preserve">Por qué importa en RiC. </w:t>
      </w:r>
      <w:r>
        <w:t xml:space="preserve">Un grafo RiC se vuelve útil cuando otros pueden enlazarlo. Una URI que cambia al mudarse de servidor rompe todos los enlaces.</w:t>
      </w:r>
    </w:p>
    <w:p>
      <w:pPr>
        <w:spacing w:after="120" w:line="276"/>
      </w:pPr>
      <w:r>
        <w:rPr>
          <w:b/>
          <w:bCs/>
        </w:rPr>
        <w:t xml:space="preserve">Qué agregarle a RICORA:</w:t>
      </w:r>
    </w:p>
    <w:p>
      <w:pPr>
        <w:pStyle w:val="ListParagraph"/>
        <w:numPr>
          <w:ilvl w:val="0"/>
          <w:numId w:val="13"/>
        </w:numPr>
        <w:spacing w:after="60"/>
      </w:pPr>
      <w:r>
        <w:t xml:space="preserve">Dominio propio con HTTPS y la base de URI fijada (el sistema ya exige ambas cosas antes de publicar).</w:t>
      </w:r>
    </w:p>
    <w:p>
      <w:pPr>
        <w:pStyle w:val="ListParagraph"/>
        <w:numPr>
          <w:ilvl w:val="0"/>
          <w:numId w:val="13"/>
        </w:numPr>
        <w:spacing w:after="60"/>
      </w:pPr>
      <w:r>
        <w:t xml:space="preserve">Opcional: identificadores ARK, sin costo, para las descripciones publicadas.</w:t>
      </w:r>
    </w:p>
    <w:p>
      <w:pPr>
        <w:pStyle w:val="ListParagraph"/>
        <w:numPr>
          <w:ilvl w:val="0"/>
          <w:numId w:val="13"/>
        </w:numPr>
        <w:spacing w:after="60"/>
      </w:pPr>
      <w:r>
        <w:t xml:space="preserve">Encender los datos abiertos solo para lo público. No cargar documentos con reserva legal mientras no haya HTTPS.</w:t>
      </w:r>
    </w:p>
    <w:p>
      <w:pPr>
        <w:spacing w:after="200" w:before="100"/>
      </w:pPr>
      <w:r>
        <w:rPr>
          <w:b/>
          <w:bCs/>
        </w:rPr>
        <w:t xml:space="preserve">Cómo se sabrá que quedó: </w:t>
      </w:r>
      <w:r>
        <w:t xml:space="preserve">Una URI publicada sigue resolviendo después de un cambio de servidor.</w:t>
      </w:r>
    </w:p>
    <w:p>
      <w:r>
        <w:br w:type="page"/>
      </w:r>
    </w:p>
    <w:p>
      <w:pPr>
        <w:spacing w:after="120" w:before="600"/>
      </w:pPr>
      <w:r>
        <w:rPr>
          <w:b/>
          <w:bCs/>
          <w:color w:val="2F5FD0"/>
          <w:sz w:val="40"/>
          <w:szCs w:val="40"/>
        </w:rPr>
        <w:t xml:space="preserve">Parte F · Cómo corregirlo</w:t>
      </w:r>
    </w:p>
    <w:p>
      <w:pPr>
        <w:spacing w:after="400"/>
      </w:pPr>
      <w:r>
        <w:rPr>
          <w:color w:val="5B6477"/>
          <w:sz w:val="24"/>
          <w:szCs w:val="24"/>
        </w:rPr>
        <w:t xml:space="preserve">Cómo debería estar implementado, pieza por pieza, y en qué orden</w:t>
      </w:r>
    </w:p>
    <w:p>
      <w:pPr>
        <w:pStyle w:val="Heading1"/>
      </w:pPr>
      <w:r>
        <w:t xml:space="preserve">F1. El cambio de fondo</w:t>
      </w:r>
    </w:p>
    <w:p>
      <w:pPr>
        <w:spacing w:after="120" w:line="276"/>
      </w:pPr>
      <w:r>
        <w:t xml:space="preserve">Hoy RICORA guarda los datos en </w:t>
      </w:r>
      <w:r>
        <w:rPr>
          <w:b/>
          <w:bCs/>
        </w:rPr>
        <w:t xml:space="preserve">tablas organizadas por fondo</w:t>
      </w:r>
      <w:r>
        <w:t xml:space="preserve"> y fabrica el grafo RiC </w:t>
      </w:r>
      <w:r>
        <w:rPr>
          <w:b/>
          <w:bCs/>
        </w:rPr>
        <w:t xml:space="preserve">solo cuando exporta</w:t>
      </w:r>
      <w:r>
        <w:t xml:space="preserve">. Ser nativo significa que el modelo RiC sea la forma en que el sistema guarda y piensa los datos. </w:t>
      </w:r>
      <w:r>
        <w:rPr>
          <w:b/>
          <w:bCs/>
        </w:rPr>
        <w:t xml:space="preserve">No hay que rehacer el sistema</w:t>
      </w:r>
      <w:r>
        <w:t xml:space="preserve">: las relaciones ya son datos propios y el mapeo único a RiC-O ya existe. Se corrigen tres piezas y se completa el resto dentro de lo que hay.</w:t>
      </w:r>
    </w:p>
    <w:p>
      <w:pPr>
        <w:pStyle w:val="Heading2"/>
      </w:pPr>
      <w:r>
        <w:t xml:space="preserve">Arquitectura objetivo</w:t>
      </w:r>
    </w:p>
    <w:p>
      <w:pPr>
        <w:shd w:fill="F3F5F9" w:color="auto" w:val="clear"/>
        <w:spacing w:after="0" w:line="240"/>
      </w:pPr>
      <w:r>
        <w:rPr>
          <w:rFonts w:ascii="Consolas" w:cs="Consolas" w:eastAsia="Consolas" w:hAnsi="Consolas"/>
          <w:color w:val="1C2333"/>
          <w:sz w:val="17"/>
          <w:szCs w:val="17"/>
        </w:rPr>
        <w:t xml:space="preserve">                 ┌──────────── PostgreSQL (operación diaria) ─────────────┐</w:t>
      </w:r>
    </w:p>
    <w:p>
      <w:pPr>
        <w:shd w:fill="F3F5F9" w:color="auto" w:val="clear"/>
        <w:spacing w:after="0" w:line="240"/>
      </w:pPr>
      <w:r>
        <w:rPr>
          <w:rFonts w:ascii="Consolas" w:cs="Consolas" w:eastAsia="Consolas" w:hAnsi="Consolas"/>
          <w:color w:val="1C2333"/>
          <w:sz w:val="17"/>
          <w:szCs w:val="17"/>
        </w:rPr>
        <w:t xml:space="preserve"> Ingesta,        │  entidades GLOBALES de la institución (no del fondo)    │</w:t>
      </w:r>
    </w:p>
    <w:p>
      <w:pPr>
        <w:shd w:fill="F3F5F9" w:color="auto" w:val="clear"/>
        <w:spacing w:after="0" w:line="240"/>
      </w:pPr>
      <w:r>
        <w:rPr>
          <w:rFonts w:ascii="Consolas" w:cs="Consolas" w:eastAsia="Consolas" w:hAnsi="Consolas"/>
          <w:color w:val="1C2333"/>
          <w:sz w:val="17"/>
          <w:szCs w:val="17"/>
        </w:rPr>
        <w:t xml:space="preserve"> descripción  ─▶ │  relaciones con fuente, certeza y vigencia              │</w:t>
      </w:r>
    </w:p>
    <w:p>
      <w:pPr>
        <w:shd w:fill="F3F5F9" w:color="auto" w:val="clear"/>
        <w:spacing w:after="0" w:line="240"/>
      </w:pPr>
      <w:r>
        <w:rPr>
          <w:rFonts w:ascii="Consolas" w:cs="Consolas" w:eastAsia="Consolas" w:hAnsi="Consolas"/>
          <w:color w:val="1C2333"/>
          <w:sz w:val="17"/>
          <w:szCs w:val="17"/>
        </w:rPr>
        <w:t xml:space="preserve"> vocabularios    │  bandeja «cambios_grafo» (misma transacción)            │</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                                 │ el trabajador aplica los cambios</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                 ┌────────── Oxigraph (grafo RiC persistente) ─────────────┐</w:t>
      </w:r>
    </w:p>
    <w:p>
      <w:pPr>
        <w:shd w:fill="F3F5F9" w:color="auto" w:val="clear"/>
        <w:spacing w:after="0" w:line="240"/>
      </w:pPr>
      <w:r>
        <w:rPr>
          <w:rFonts w:ascii="Consolas" w:cs="Consolas" w:eastAsia="Consolas" w:hAnsi="Consolas"/>
          <w:color w:val="1C2333"/>
          <w:sz w:val="17"/>
          <w:szCs w:val="17"/>
        </w:rPr>
        <w:t xml:space="preserve">                 │  un grafo con nombre por fondo + uno institucional      │</w:t>
      </w:r>
    </w:p>
    <w:p>
      <w:pPr>
        <w:shd w:fill="F3F5F9" w:color="auto" w:val="clear"/>
        <w:spacing w:after="0" w:line="240"/>
      </w:pPr>
      <w:r>
        <w:rPr>
          <w:rFonts w:ascii="Consolas" w:cs="Consolas" w:eastAsia="Consolas" w:hAnsi="Consolas"/>
          <w:color w:val="1C2333"/>
          <w:sz w:val="17"/>
          <w:szCs w:val="17"/>
        </w:rPr>
        <w:t xml:space="preserve">                 │  SPARQL de todo el acervo con el filtro de Ley 1712     │</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 Importación ─▶ validar (OWL+SHACL) ─▶ zona de espera ─▶ conciliar ─▶ revisión humana ─▶ PostgreSQL</w:t>
      </w:r>
    </w:p>
    <w:p>
      <w:pPr>
        <w:pStyle w:val="Heading1"/>
      </w:pPr>
      <w:r>
        <w:t xml:space="preserve">F2. Pieza por pieza</w:t>
      </w:r>
    </w:p>
    <w:p>
      <w:pPr>
        <w:pStyle w:val="Heading2"/>
      </w:pPr>
      <w:r>
        <w:t xml:space="preserve">Agentes globales (N2) — el cambio principal</w:t>
      </w:r>
    </w:p>
    <w:p>
      <w:pPr>
        <w:spacing w:after="120" w:line="276"/>
      </w:pPr>
      <w:r>
        <w:rPr>
          <w:b/>
          <w:bCs/>
        </w:rPr>
        <w:t xml:space="preserve">Hoy: </w:t>
      </w:r>
      <w:r>
        <w:t xml:space="preserve">el campo </w:t>
      </w:r>
      <w:r>
        <w:rPr>
          <w:rFonts w:ascii="Consolas" w:cs="Consolas" w:eastAsia="Consolas" w:hAnsi="Consolas"/>
          <w:color w:val="93437F"/>
          <w:sz w:val="20"/>
          <w:szCs w:val="20"/>
        </w:rPr>
        <w:t xml:space="preserve">entidades_vocabulario.fondo_id</w:t>
      </w:r>
      <w:r>
        <w:t xml:space="preserve"> es obligatorio; cada fondo tiene su propia «Alcaldía de Tunja».</w:t>
      </w:r>
    </w:p>
    <w:p>
      <w:pPr>
        <w:spacing w:after="120" w:line="276"/>
      </w:pPr>
      <w:r>
        <w:rPr>
          <w:b/>
          <w:bCs/>
        </w:rPr>
        <w:t xml:space="preserve">Cómo debe estar: </w:t>
      </w:r>
      <w:r>
        <w:t xml:space="preserve">la entidad pertenece a la institución; </w:t>
      </w:r>
      <w:r>
        <w:rPr>
          <w:rFonts w:ascii="Consolas" w:cs="Consolas" w:eastAsia="Consolas" w:hAnsi="Consolas"/>
          <w:color w:val="93437F"/>
          <w:sz w:val="20"/>
          <w:szCs w:val="20"/>
        </w:rPr>
        <w:t xml:space="preserve">fondo_id</w:t>
      </w:r>
      <w:r>
        <w:t xml:space="preserve"> pasa a ser solo «fondo donde se registró por primera vez»; en qué fondos aparece se deduce de sus relaciones.</w:t>
      </w:r>
    </w:p>
    <w:p>
      <w:pPr>
        <w:spacing w:after="120" w:line="276"/>
      </w:pPr>
      <w:r>
        <w:rPr>
          <w:b/>
          <w:bCs/>
        </w:rPr>
        <w:t xml:space="preserve">Cómo se corrige:</w:t>
      </w:r>
    </w:p>
    <w:p>
      <w:pPr>
        <w:pStyle w:val="ListParagraph"/>
        <w:numPr>
          <w:ilvl w:val="0"/>
          <w:numId w:val="14"/>
        </w:numPr>
        <w:spacing w:after="60"/>
      </w:pPr>
      <w:r>
        <w:t xml:space="preserve">Una migración de la base vuelve opcional </w:t>
      </w:r>
      <w:r>
        <w:rPr>
          <w:rFonts w:ascii="Consolas" w:cs="Consolas" w:eastAsia="Consolas" w:hAnsi="Consolas"/>
          <w:color w:val="93437F"/>
          <w:sz w:val="20"/>
          <w:szCs w:val="20"/>
        </w:rPr>
        <w:t xml:space="preserve">fondo_id</w:t>
      </w:r>
      <w:r>
        <w:t xml:space="preserve">.</w:t>
      </w:r>
    </w:p>
    <w:p>
      <w:pPr>
        <w:pStyle w:val="ListParagraph"/>
        <w:numPr>
          <w:ilvl w:val="0"/>
          <w:numId w:val="14"/>
        </w:numPr>
        <w:spacing w:after="60"/>
      </w:pPr>
      <w:r>
        <w:t xml:space="preserve">Una tarea propone fusionar los duplicados entre fondos, con la fusión que ya conserva identificadores y URI; una persona aprueba cada una.</w:t>
      </w:r>
    </w:p>
    <w:p>
      <w:pPr>
        <w:pStyle w:val="ListParagraph"/>
        <w:numPr>
          <w:ilvl w:val="0"/>
          <w:numId w:val="14"/>
        </w:numPr>
        <w:spacing w:after="60"/>
      </w:pPr>
      <w:r>
        <w:t xml:space="preserve">Permisos y exportación dejan de filtrar por fondo y filtran por «¿la cita algún documento visible?», la regla que ya existe para la Ley 1712 (</w:t>
      </w:r>
      <w:r>
        <w:rPr>
          <w:rFonts w:ascii="Consolas" w:cs="Consolas" w:eastAsia="Consolas" w:hAnsi="Consolas"/>
          <w:color w:val="93437F"/>
          <w:sz w:val="20"/>
          <w:szCs w:val="20"/>
        </w:rPr>
        <w:t xml:space="preserve">_entidades_vedadas</w:t>
      </w:r>
      <w:r>
        <w:t xml:space="preserve">).</w:t>
      </w:r>
    </w:p>
    <w:p>
      <w:pPr>
        <w:spacing w:after="120" w:line="276"/>
      </w:pPr>
      <w:r>
        <w:rPr>
          <w:i/>
          <w:iCs/>
        </w:rPr>
        <w:t xml:space="preserve">En RiC esto es lo correcto: el fondo es una Agrupación documental de tipo «Fonds», no el dueño de los agentes.</w:t>
      </w:r>
    </w:p>
    <w:p>
      <w:pPr>
        <w:pStyle w:val="Heading2"/>
      </w:pPr>
      <w:r>
        <w:t xml:space="preserve">Grafo persistente (N3)</w:t>
      </w:r>
    </w:p>
    <w:p>
      <w:pPr>
        <w:spacing w:after="120" w:line="276"/>
      </w:pPr>
      <w:r>
        <w:rPr>
          <w:b/>
          <w:bCs/>
        </w:rPr>
        <w:t xml:space="preserve">Hoy: </w:t>
      </w:r>
      <w:r>
        <w:rPr>
          <w:rFonts w:ascii="Consolas" w:cs="Consolas" w:eastAsia="Consolas" w:hAnsi="Consolas"/>
          <w:color w:val="93437F"/>
          <w:sz w:val="20"/>
          <w:szCs w:val="20"/>
        </w:rPr>
        <w:t xml:space="preserve">exportacion_rico.exportar()</w:t>
      </w:r>
      <w:r>
        <w:t xml:space="preserve"> recalcula todo en cada consulta.</w:t>
      </w:r>
    </w:p>
    <w:p>
      <w:pPr>
        <w:spacing w:after="120" w:line="276"/>
      </w:pPr>
      <w:r>
        <w:rPr>
          <w:b/>
          <w:bCs/>
        </w:rPr>
        <w:t xml:space="preserve">Cómo se corrige:</w:t>
      </w:r>
    </w:p>
    <w:p>
      <w:pPr>
        <w:pStyle w:val="ListParagraph"/>
        <w:numPr>
          <w:ilvl w:val="0"/>
          <w:numId w:val="15"/>
        </w:numPr>
        <w:spacing w:after="60"/>
      </w:pPr>
      <w:r>
        <w:t xml:space="preserve">Cada publicación, corrección o fusión escribe una fila en la tabla </w:t>
      </w:r>
      <w:r>
        <w:rPr>
          <w:rFonts w:ascii="Consolas" w:cs="Consolas" w:eastAsia="Consolas" w:hAnsi="Consolas"/>
          <w:color w:val="93437F"/>
          <w:sz w:val="20"/>
          <w:szCs w:val="20"/>
        </w:rPr>
        <w:t xml:space="preserve">cambios_grafo</w:t>
      </w:r>
      <w:r>
        <w:t xml:space="preserve"> en la misma transacción: si se guardó en la base, el grafo se entera.</w:t>
      </w:r>
    </w:p>
    <w:p>
      <w:pPr>
        <w:pStyle w:val="ListParagraph"/>
        <w:numPr>
          <w:ilvl w:val="0"/>
          <w:numId w:val="15"/>
        </w:numPr>
        <w:spacing w:after="60"/>
      </w:pPr>
      <w:r>
        <w:t xml:space="preserve">El trabajador (que ya existe) lee la bandeja y actualiza Oxigraph usando el mismo exportar() para el nodo cambiado: una sola fuente de verdad del mapeo.</w:t>
      </w:r>
    </w:p>
    <w:p>
      <w:pPr>
        <w:pStyle w:val="ListParagraph"/>
        <w:numPr>
          <w:ilvl w:val="0"/>
          <w:numId w:val="15"/>
        </w:numPr>
        <w:spacing w:after="60"/>
      </w:pPr>
      <w:r>
        <w:t xml:space="preserve">Cada noche, una reconstrucción completa compara Oxigraph con la base y alerta si difieren.</w:t>
      </w:r>
    </w:p>
    <w:p>
      <w:pPr>
        <w:pStyle w:val="Heading2"/>
      </w:pPr>
      <w:r>
        <w:t xml:space="preserve">Importación (N1)</w:t>
      </w:r>
    </w:p>
    <w:p>
      <w:pPr>
        <w:spacing w:after="120" w:line="276"/>
      </w:pPr>
      <w:r>
        <w:rPr>
          <w:b/>
          <w:bCs/>
        </w:rPr>
        <w:t xml:space="preserve">Cómo debe estar — el camino inverso del mapeo, nunca directo a las tablas reales:</w:t>
      </w:r>
    </w:p>
    <w:p>
      <w:pPr>
        <w:pStyle w:val="ListParagraph"/>
        <w:numPr>
          <w:ilvl w:val="0"/>
          <w:numId w:val="16"/>
        </w:numPr>
        <w:spacing w:after="60"/>
      </w:pPr>
      <w:r>
        <w:t xml:space="preserve">Leer el Turtle o JSON-LD y validarlo con el mismo OWL y SHACL de la exportación.</w:t>
      </w:r>
    </w:p>
    <w:p>
      <w:pPr>
        <w:pStyle w:val="ListParagraph"/>
        <w:numPr>
          <w:ilvl w:val="0"/>
          <w:numId w:val="16"/>
        </w:numPr>
        <w:spacing w:after="60"/>
      </w:pPr>
      <w:r>
        <w:t xml:space="preserve">Cargarlo en una zona de espera (tablas de importación, separadas de las reales).</w:t>
      </w:r>
    </w:p>
    <w:p>
      <w:pPr>
        <w:pStyle w:val="ListParagraph"/>
        <w:numPr>
          <w:ilvl w:val="0"/>
          <w:numId w:val="16"/>
        </w:numPr>
        <w:spacing w:after="60"/>
      </w:pPr>
      <w:r>
        <w:t xml:space="preserve">Conciliar con el vocabulario: por identificador externo (Wikidata, VIAF), luego owl:sameAs, luego parecido de nombre.</w:t>
      </w:r>
    </w:p>
    <w:p>
      <w:pPr>
        <w:pStyle w:val="ListParagraph"/>
        <w:numPr>
          <w:ilvl w:val="0"/>
          <w:numId w:val="16"/>
        </w:numPr>
        <w:spacing w:after="60"/>
      </w:pPr>
      <w:r>
        <w:t xml:space="preserve">Mostrar el informe «se crearán X, se reutilizarán Y, se descartarán Z» y que una persona apruebe.</w:t>
      </w:r>
    </w:p>
    <w:p>
      <w:pPr>
        <w:pStyle w:val="ListParagraph"/>
        <w:numPr>
          <w:ilvl w:val="0"/>
          <w:numId w:val="16"/>
        </w:numPr>
        <w:spacing w:after="60"/>
      </w:pPr>
      <w:r>
        <w:t xml:space="preserve">Escribir en las tablas reales con procedencia «importado de…».</w:t>
      </w:r>
    </w:p>
    <w:p>
      <w:pPr>
        <w:spacing w:after="120" w:line="276"/>
      </w:pPr>
      <w:r>
        <w:rPr>
          <w:b/>
          <w:bCs/>
        </w:rPr>
        <w:t xml:space="preserve">La prueba que lo demuestra: </w:t>
      </w:r>
      <w:r>
        <w:t xml:space="preserve">exportar → importar en una base vacía → exportar da el mismo grafo.</w:t>
      </w:r>
    </w:p>
    <w:p>
      <w:pPr>
        <w:pStyle w:val="Heading2"/>
      </w:pPr>
      <w:r>
        <w:t xml:space="preserve">Lo que se completa sin tocar la arquitectura</w:t>
      </w:r>
    </w:p>
    <w:p>
      <w:pPr>
        <w:pStyle w:val="ListParagraph"/>
        <w:numPr>
          <w:ilvl w:val="0"/>
          <w:numId w:val="2"/>
        </w:numPr>
        <w:spacing w:after="60"/>
      </w:pPr>
      <w:r>
        <w:rPr>
          <w:b/>
          <w:bCs/>
        </w:rPr>
        <w:t xml:space="preserve">Atributos (N4): </w:t>
      </w:r>
      <w:r>
        <w:t xml:space="preserve">por cada uno, un vocabulario SKOS, un campo en el formulario, una línea en </w:t>
      </w:r>
      <w:r>
        <w:rPr>
          <w:rFonts w:ascii="Consolas" w:cs="Consolas" w:eastAsia="Consolas" w:hAnsi="Consolas"/>
          <w:color w:val="93437F"/>
          <w:sz w:val="20"/>
          <w:szCs w:val="20"/>
        </w:rPr>
        <w:t xml:space="preserve">ric_o.py</w:t>
      </w:r>
      <w:r>
        <w:t xml:space="preserve">, una forma SHACL y una prueba. Es el mismo patrón con el que ya se agregaron tipo de soporte y tipo de mandato.</w:t>
      </w:r>
    </w:p>
    <w:p>
      <w:pPr>
        <w:pStyle w:val="ListParagraph"/>
        <w:numPr>
          <w:ilvl w:val="0"/>
          <w:numId w:val="2"/>
        </w:numPr>
        <w:spacing w:after="60"/>
      </w:pPr>
      <w:r>
        <w:rPr>
          <w:b/>
          <w:bCs/>
        </w:rPr>
        <w:t xml:space="preserve">Ciclo de vida (N5): </w:t>
      </w:r>
      <w:r>
        <w:t xml:space="preserve">cada lote de transferencia se exporta como </w:t>
      </w:r>
      <w:r>
        <w:rPr>
          <w:rFonts w:ascii="Consolas" w:cs="Consolas" w:eastAsia="Consolas" w:hAnsi="Consolas"/>
          <w:color w:val="93437F"/>
          <w:sz w:val="20"/>
          <w:szCs w:val="20"/>
        </w:rPr>
        <w:t xml:space="preserve">rico:Activity</w:t>
      </w:r>
      <w:r>
        <w:t xml:space="preserve"> con remitente, receptor, fecha, documentos afectados y su acta; la eliminación por TRD, como actividad regulada por la regla de retención.</w:t>
      </w:r>
    </w:p>
    <w:p>
      <w:pPr>
        <w:pStyle w:val="ListParagraph"/>
        <w:numPr>
          <w:ilvl w:val="0"/>
          <w:numId w:val="2"/>
        </w:numPr>
        <w:spacing w:after="60"/>
      </w:pPr>
      <w:r>
        <w:rPr>
          <w:b/>
          <w:bCs/>
        </w:rPr>
        <w:t xml:space="preserve">Instrumentos (N6): </w:t>
      </w:r>
      <w:r>
        <w:t xml:space="preserve">cada FUID o guía firmada como </w:t>
      </w:r>
      <w:r>
        <w:rPr>
          <w:rFonts w:ascii="Consolas" w:cs="Consolas" w:eastAsia="Consolas" w:hAnsi="Consolas"/>
          <w:color w:val="93437F"/>
          <w:sz w:val="20"/>
          <w:szCs w:val="20"/>
        </w:rPr>
        <w:t xml:space="preserve">rico:Record</w:t>
      </w:r>
      <w:r>
        <w:t xml:space="preserve"> con </w:t>
      </w:r>
      <w:r>
        <w:rPr>
          <w:rFonts w:ascii="Consolas" w:cs="Consolas" w:eastAsia="Consolas" w:hAnsi="Consolas"/>
          <w:color w:val="93437F"/>
          <w:sz w:val="20"/>
          <w:szCs w:val="20"/>
        </w:rPr>
        <w:t xml:space="preserve">describesOrDescribed</w:t>
      </w:r>
      <w:r>
        <w:t xml:space="preserve"> hacia lo que describe.</w:t>
      </w:r>
    </w:p>
    <w:p>
      <w:pPr>
        <w:pStyle w:val="ListParagraph"/>
        <w:numPr>
          <w:ilvl w:val="0"/>
          <w:numId w:val="2"/>
        </w:numPr>
        <w:spacing w:after="60"/>
      </w:pPr>
      <w:r>
        <w:rPr>
          <w:b/>
          <w:bCs/>
        </w:rPr>
        <w:t xml:space="preserve">Motor (N8): </w:t>
      </w:r>
      <w:r>
        <w:t xml:space="preserve">roles autor y acumulador en las instrucciones, nueva versión etiquetada y su evaluación ciega.</w:t>
      </w:r>
    </w:p>
    <w:p>
      <w:pPr>
        <w:pStyle w:val="ListParagraph"/>
        <w:numPr>
          <w:ilvl w:val="0"/>
          <w:numId w:val="2"/>
        </w:numPr>
        <w:spacing w:after="60"/>
      </w:pPr>
      <w:r>
        <w:rPr>
          <w:b/>
          <w:bCs/>
        </w:rPr>
        <w:t xml:space="preserve">Etiquetas (detalle): </w:t>
      </w:r>
      <w:r>
        <w:t xml:space="preserve">alinear la interfaz con las etiquetas oficiales en español donde convenga (Puesto, Institución, Norma), o declarar la equivalencia en la ayuda.</w:t>
      </w:r>
    </w:p>
    <w:p>
      <w:pPr>
        <w:pStyle w:val="Heading1"/>
      </w:pPr>
      <w:r>
        <w:t xml:space="preserve">F3. Orden y consejo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Fase</w:t>
            </w:r>
          </w:p>
        </w:tc>
        <w:tc>
          <w:tcPr>
            <w:tcW w:type="dxa" w:w="24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w:t>
            </w:r>
          </w:p>
        </w:tc>
        <w:tc>
          <w:tcPr>
            <w:tcW w:type="dxa" w:w="60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Por qué en ese orden</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1</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N4, N9, N7, N6</w:t>
            </w:r>
          </w:p>
        </w:tc>
        <w:tc>
          <w:tcPr>
            <w:tcW w:type="dxa" w:w="60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toca la arquitectura; cobertura de atributos 42/42.</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2</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N5, N8</w:t>
            </w:r>
          </w:p>
        </w:tc>
        <w:tc>
          <w:tcPr>
            <w:tcW w:type="dxa" w:w="60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historia del documento y la IA quedan en RiC y se evalúan en la tesis.</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3</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N2 → N3 → N1</w:t>
            </w:r>
          </w:p>
        </w:tc>
        <w:tc>
          <w:tcPr>
            <w:tcW w:type="dxa" w:w="60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Primero los agentes globales: el grafo y la importación dependen de ellos. Al revés, se rehace trabajo.</w:t>
            </w:r>
          </w:p>
        </w:tc>
      </w:tr>
    </w:tbl>
    <w:p>
      <w:pPr>
        <w:spacing w:before="160"/>
      </w:pPr>
      <w:r>
        <w:rPr>
          <w:b/>
          <w:bCs/>
        </w:rPr>
        <w:t xml:space="preserve">Consejo: </w:t>
      </w:r>
      <w:r>
        <w:t xml:space="preserve">la fase 3 es un cambio de arquitectura de varias semanas. Si la entrega de la tesis está cerca, conviene hacer las fases 1 y 2 —demostrables con pruebas— y dejar la 3 escrita como diseño, con el diagrama de F1. Así la tesis afirma «conforme con RiC y con un camino definido hacia lo nativo», que es defendible ante un jurado.</w:t>
      </w:r>
    </w:p>
    <w:p>
      <w:pPr>
        <w:pStyle w:val="Heading1"/>
      </w:pPr>
      <w:r>
        <w:t xml:space="preserve">F4. Hoja de ruta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3760"/>
        <w:gridCol w:w="1600"/>
      </w:tblGrid>
      <w:tr>
        <w:trPr>
          <w:tblHeader/>
        </w:trPr>
        <w:tc>
          <w:tcPr>
            <w:tcW w:type="dxa" w:w="21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Fase</w:t>
            </w:r>
          </w:p>
        </w:tc>
        <w:tc>
          <w:tcPr>
            <w:tcW w:type="dxa" w:w="1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Brechas</w:t>
            </w:r>
          </w:p>
        </w:tc>
        <w:tc>
          <w:tcPr>
            <w:tcW w:type="dxa" w:w="37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se gana</w:t>
            </w:r>
          </w:p>
        </w:tc>
        <w:tc>
          <w:tcPr>
            <w:tcW w:type="dxa" w:w="16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21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1 · Completar el modelo</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N4, N9, N7, N6</w:t>
            </w:r>
          </w:p>
        </w:tc>
        <w:tc>
          <w:tcPr>
            <w:tcW w:type="dxa" w:w="3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Cobertura de atributos 42/42; instrumentos visibles en el grafo. Sin tocar la arquitectura.</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3–4 bloques</w:t>
            </w:r>
          </w:p>
        </w:tc>
      </w:tr>
      <w:tr>
        <w:tc>
          <w:tcPr>
            <w:tcW w:type="dxa" w:w="21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2 · Historia y motor</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N5, N8</w:t>
            </w:r>
          </w:p>
        </w:tc>
        <w:tc>
          <w:tcPr>
            <w:tcW w:type="dxa" w:w="3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transferencia, la valoración y la descripción asistida quedan en RiC y se evalúan.</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2–3 bloques</w:t>
            </w:r>
          </w:p>
        </w:tc>
      </w:tr>
      <w:tr>
        <w:tc>
          <w:tcPr>
            <w:tcW w:type="dxa" w:w="21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3 · Arquitectura nativa</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N2, N3, N1</w:t>
            </w:r>
          </w:p>
        </w:tc>
        <w:tc>
          <w:tcPr>
            <w:tcW w:type="dxa" w:w="3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Procedencia múltiple, grafo del acervo e intercambio en las dos direcciones.</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7–9 bloques</w:t>
            </w:r>
          </w:p>
        </w:tc>
      </w:tr>
      <w:tr>
        <w:tc>
          <w:tcPr>
            <w:tcW w:type="dxa" w:w="21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Infraestructura</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N10 y la segunda copia en otro disco (PRE-07)</w:t>
            </w:r>
          </w:p>
        </w:tc>
        <w:tc>
          <w:tcPr>
            <w:tcW w:type="dxa" w:w="3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Publicación estable y preservación NDSA nivel 1 de almacenamiento.</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Decisión de la autora</w:t>
            </w:r>
          </w:p>
        </w:tc>
      </w:tr>
    </w:tbl>
    <w:p>
      <w:pPr>
        <w:spacing w:before="120"/>
      </w:pPr>
      <w:r>
        <w:rPr>
          <w:i/>
          <w:iCs/>
        </w:rPr>
        <w:t xml:space="preserve">Un «bloque» es una entrega como las de la auditoría: código, pruebas, documentación y despliegue.</w:t>
      </w:r>
    </w:p>
    <w:p>
      <w:pPr>
        <w:pStyle w:val="Heading1"/>
      </w:pPr>
      <w:r>
        <w:t xml:space="preserve">F5. Decisiones que le corresponden a la autora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660"/>
        <w:gridCol w:w="2300"/>
        <w:gridCol w:w="2000"/>
      </w:tblGrid>
      <w:tr>
        <w:trPr>
          <w:tblHeader/>
        </w:trPr>
        <w:tc>
          <w:tcPr>
            <w:tcW w:type="dxa" w:w="15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Decisión</w:t>
            </w:r>
          </w:p>
        </w:tc>
        <w:tc>
          <w:tcPr>
            <w:tcW w:type="dxa" w:w="1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Alternativas</w:t>
            </w:r>
          </w:p>
        </w:tc>
        <w:tc>
          <w:tcPr>
            <w:tcW w:type="dxa" w:w="16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Recomendación</w:t>
            </w:r>
          </w:p>
        </w:tc>
        <w:tc>
          <w:tcPr>
            <w:tcW w:type="dxa" w:w="2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Justificación</w:t>
            </w:r>
          </w:p>
        </w:tc>
        <w:tc>
          <w:tcPr>
            <w:tcW w:type="dxa" w:w="20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Riesgo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Alcance de la tesis</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Afirmar «conforme con RiC» · afirmar «nativo en RiC»</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«Conforme», con la fase 3 como trabajo futuro</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 conforme está probado con evidencia automática; lo nativo exige la fase 3.</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Si se afirma «nativo» sin la fase 3, un jurado lo puede refutar con la sección E2.</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Vocabulario institucional (N2)</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Una autoridad por fondo · autoridades de la institución</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Institucional</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Es la condición de la procedencia múltiple.</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Cambia permisos y exportación; requiere migrar duplicados.</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Almacén de grafo (N3)</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Seguir al vuelo · Oxigraph · Apache Jena Fuseki</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Oxigraph</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Gratuito, liviano para un servidor de 2 GB, SPARQL 1.1 completo.</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Hay que mantenerlo sincronizado; la reconstrucción total lo mitiga.</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Importación (N1)</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importar · solo RiC-O · RiC-O + EAD3/EAC-CPF</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RiC-O primero, luego EAD3/EAC-CPF</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ida y vuelta RiC-O valida la propia exportación.</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reconciliación de agentes exige revisión humana.</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Calendario (N9)</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Omitir (hoy) · declararlo en la fecha expresada</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Declararlo</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 pide la definición de rico:expressedDate.</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Ninguno conocido.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Datos abiertos (N10)</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Apagados (hoy) · solo lo público con HTTPS</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Encender cuando haya dominio y HTTPS</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Sin enlaces externos, el grafo no se aprovecha.</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Nunca antes de tener HTTPS.</w:t>
            </w:r>
          </w:p>
        </w:tc>
      </w:tr>
    </w:tbl>
    <w:p>
      <w:pPr>
        <w:pStyle w:val="Heading1"/>
      </w:pPr>
      <w:r>
        <w:t xml:space="preserve">F6. Lo que ya está bien y no hay que tocar</w:t>
      </w:r>
    </w:p>
    <w:p>
      <w:pPr>
        <w:pStyle w:val="ListParagraph"/>
        <w:numPr>
          <w:ilvl w:val="0"/>
          <w:numId w:val="2"/>
        </w:numPr>
        <w:spacing w:after="60"/>
      </w:pPr>
      <w:r>
        <w:t xml:space="preserve">Mapeo único RiC-O verificado contra el OWL oficial en cada ejecución de pruebas; ningún término inventado.</w:t>
      </w:r>
    </w:p>
    <w:p>
      <w:pPr>
        <w:pStyle w:val="ListParagraph"/>
        <w:numPr>
          <w:ilvl w:val="0"/>
          <w:numId w:val="2"/>
        </w:numPr>
        <w:spacing w:after="60"/>
      </w:pPr>
      <w:r>
        <w:t xml:space="preserve">Validación OWL y SHACL antes de exportar, con informe de conformidad y de lo que se omite y por qué.</w:t>
      </w:r>
    </w:p>
    <w:p>
      <w:pPr>
        <w:pStyle w:val="ListParagraph"/>
        <w:numPr>
          <w:ilvl w:val="0"/>
          <w:numId w:val="2"/>
        </w:numPr>
        <w:spacing w:after="60"/>
      </w:pPr>
      <w:r>
        <w:t xml:space="preserve">Relaciones como nodos rico:Relation con la clase más específica, su orientación oficial, su fuente, su certeza y su estado.</w:t>
      </w:r>
    </w:p>
    <w:p>
      <w:pPr>
        <w:pStyle w:val="ListParagraph"/>
        <w:numPr>
          <w:ilvl w:val="0"/>
          <w:numId w:val="2"/>
        </w:numPr>
        <w:spacing w:after="60"/>
      </w:pPr>
      <w:r>
        <w:t xml:space="preserve">Fechas EDTF tipificadas con rico:DateType; extensión con cantidad y unidad; calidad del OCR y autenticidad en el archivo.</w:t>
      </w:r>
    </w:p>
    <w:p>
      <w:pPr>
        <w:pStyle w:val="ListParagraph"/>
        <w:numPr>
          <w:ilvl w:val="0"/>
          <w:numId w:val="2"/>
        </w:numPr>
        <w:spacing w:after="60"/>
      </w:pPr>
      <w:r>
        <w:t xml:space="preserve">Cargos (Position), mecanismos con versión (Mechanism) y mandatos como entidades.</w:t>
      </w:r>
    </w:p>
    <w:p>
      <w:pPr>
        <w:pStyle w:val="ListParagraph"/>
        <w:numPr>
          <w:ilvl w:val="0"/>
          <w:numId w:val="2"/>
        </w:numPr>
        <w:spacing w:after="60"/>
      </w:pPr>
      <w:r>
        <w:t xml:space="preserve">Grafo navegable, URI resolubles, SPARQL, EAD3, EAC-CPF, IIIF y PREMIS enlazados a los mismos agentes.</w:t>
      </w:r>
    </w:p>
    <w:p>
      <w:pPr>
        <w:pStyle w:val="ListParagraph"/>
        <w:numPr>
          <w:ilvl w:val="0"/>
          <w:numId w:val="2"/>
        </w:numPr>
        <w:spacing w:after="60"/>
      </w:pPr>
      <w:r>
        <w:t xml:space="preserve">Filtro de la Ley 1712 aplicado igual en el catálogo, la guía, los datos abiertos, el RDF y el paquete de consulta.</w:t>
      </w:r>
    </w:p>
    <w:p>
      <w:r>
        <w:br w:type="page"/>
      </w:r>
    </w:p>
    <w:p>
      <w:pPr>
        <w:spacing w:after="120" w:before="600"/>
      </w:pPr>
      <w:r>
        <w:rPr>
          <w:b/>
          <w:bCs/>
          <w:color w:val="2F5FD0"/>
          <w:sz w:val="40"/>
          <w:szCs w:val="40"/>
        </w:rPr>
        <w:t xml:space="preserve">Parte G · Guía de implementación</w:t>
      </w:r>
    </w:p>
    <w:p>
      <w:pPr>
        <w:spacing w:after="400"/>
      </w:pPr>
      <w:r>
        <w:rPr>
          <w:color w:val="5B6477"/>
          <w:sz w:val="24"/>
          <w:szCs w:val="24"/>
        </w:rPr>
        <w:t xml:space="preserve">Todo lo que falta y cómo agregarlo para que cumpla, archivo por archivo</w:t>
      </w:r>
    </w:p>
    <w:p>
      <w:pPr>
        <w:pStyle w:val="Heading1"/>
      </w:pPr>
      <w:r>
        <w:t xml:space="preserve">G1. Cómo usar esta guía</w:t>
      </w:r>
    </w:p>
    <w:p>
      <w:pPr>
        <w:spacing w:after="120" w:line="276"/>
      </w:pPr>
      <w:r>
        <w:t xml:space="preserve">Cada faltante tiene una receta: los archivos que se tocan, el cambio exacto y la prueba que demuestra que cumple. Una receta solo se da por terminada cuando las cuatro verificaciones de la sección G6 pasan en verde. Así se ha cerrado cada hallazgo anterior de la auditoría, y así lo exige el panel de hallazgos del propio sistema.</w:t>
      </w:r>
    </w:p>
    <w:p>
      <w:pPr>
        <w:spacing w:after="120" w:line="276"/>
      </w:pPr>
      <w:r>
        <w:rPr>
          <w:b/>
          <w:bCs/>
        </w:rPr>
        <w:t xml:space="preserve">Regla de oro: </w:t>
      </w:r>
      <w:r>
        <w:t xml:space="preserve">ningún nombre de RiC-O se escribe de memoria. Primero se busca en el archivo oficial </w:t>
      </w:r>
      <w:r>
        <w:rPr>
          <w:rFonts w:ascii="Consolas" w:cs="Consolas" w:eastAsia="Consolas" w:hAnsi="Consolas"/>
          <w:color w:val="93437F"/>
          <w:sz w:val="20"/>
          <w:szCs w:val="20"/>
        </w:rPr>
        <w:t xml:space="preserve">app/recursos/ric-o/RiC-O_1-1.rdf</w:t>
      </w:r>
      <w:r>
        <w:t xml:space="preserve"> (clase, dominio y rango); después se agrega al mapeo único </w:t>
      </w:r>
      <w:r>
        <w:rPr>
          <w:rFonts w:ascii="Consolas" w:cs="Consolas" w:eastAsia="Consolas" w:hAnsi="Consolas"/>
          <w:color w:val="93437F"/>
          <w:sz w:val="20"/>
          <w:szCs w:val="20"/>
        </w:rPr>
        <w:t xml:space="preserve">app/servicios/ric_o.py</w:t>
      </w:r>
      <w:r>
        <w:t xml:space="preserve">. La prueba </w:t>
      </w:r>
      <w:r>
        <w:rPr>
          <w:rFonts w:ascii="Consolas" w:cs="Consolas" w:eastAsia="Consolas" w:hAnsi="Consolas"/>
          <w:color w:val="93437F"/>
          <w:sz w:val="20"/>
          <w:szCs w:val="20"/>
        </w:rPr>
        <w:t xml:space="preserve">tests/test_ric_o.py</w:t>
      </w:r>
      <w:r>
        <w:t xml:space="preserve"> rechaza cualquier nombre que no exista en el OWL.</w:t>
      </w:r>
    </w:p>
    <w:p>
      <w:pPr>
        <w:pStyle w:val="Heading1"/>
      </w:pPr>
      <w:r>
        <w:t xml:space="preserve">G2. La receta base, con un ejemplo completo</w:t>
      </w:r>
    </w:p>
    <w:p>
      <w:pPr>
        <w:spacing w:after="120" w:line="276"/>
      </w:pPr>
      <w:r>
        <w:t xml:space="preserve">Ejemplo: </w:t>
      </w:r>
      <w:r>
        <w:rPr>
          <w:b/>
          <w:bCs/>
        </w:rPr>
        <w:t xml:space="preserve">A12 · Tipo de institución</w:t>
      </w:r>
      <w:r>
        <w:t xml:space="preserve"> (rico:CorporateBodyType). Es el mismo patrón con el que ya está hecho el «estatuto jurídico», así que cada paso tiene un modelo a la vista en el código.</w:t>
      </w:r>
    </w:p>
    <w:p>
      <w:pPr>
        <w:pStyle w:val="Heading3"/>
      </w:pPr>
      <w:r>
        <w:t xml:space="preserve">Paso 1 · Base de datos: una migración</w:t>
      </w:r>
    </w:p>
    <w:p>
      <w:pPr>
        <w:spacing w:after="120" w:line="276"/>
      </w:pPr>
      <w:r>
        <w:t xml:space="preserve">Archivo nuevo </w:t>
      </w:r>
      <w:r>
        <w:rPr>
          <w:rFonts w:ascii="Consolas" w:cs="Consolas" w:eastAsia="Consolas" w:hAnsi="Consolas"/>
          <w:color w:val="93437F"/>
          <w:sz w:val="20"/>
          <w:szCs w:val="20"/>
        </w:rPr>
        <w:t xml:space="preserve">alembic/versions/0031_tipo_institucion.py</w:t>
      </w:r>
      <w:r>
        <w:t xml:space="preserve">:</w:t>
      </w:r>
    </w:p>
    <w:p>
      <w:pPr>
        <w:shd w:fill="F3F5F9" w:color="auto" w:val="clear"/>
        <w:spacing w:after="0" w:line="240"/>
      </w:pPr>
      <w:r>
        <w:rPr>
          <w:rFonts w:ascii="Consolas" w:cs="Consolas" w:eastAsia="Consolas" w:hAnsi="Consolas"/>
          <w:color w:val="1C2333"/>
          <w:sz w:val="17"/>
          <w:szCs w:val="17"/>
        </w:rPr>
        <w:t xml:space="preserve">"""Tipo de institución (RiC-A12, rico:CorporateBodyType)."""</w:t>
      </w:r>
    </w:p>
    <w:p>
      <w:pPr>
        <w:shd w:fill="F3F5F9" w:color="auto" w:val="clear"/>
        <w:spacing w:after="0" w:line="240"/>
      </w:pPr>
      <w:r>
        <w:rPr>
          <w:rFonts w:ascii="Consolas" w:cs="Consolas" w:eastAsia="Consolas" w:hAnsi="Consolas"/>
          <w:color w:val="1C2333"/>
          <w:sz w:val="17"/>
          <w:szCs w:val="17"/>
        </w:rPr>
        <w:t xml:space="preserve">from alembic import op</w:t>
      </w:r>
    </w:p>
    <w:p>
      <w:pPr>
        <w:shd w:fill="F3F5F9" w:color="auto" w:val="clear"/>
        <w:spacing w:after="0" w:line="240"/>
      </w:pPr>
      <w:r>
        <w:rPr>
          <w:rFonts w:ascii="Consolas" w:cs="Consolas" w:eastAsia="Consolas" w:hAnsi="Consolas"/>
          <w:color w:val="1C2333"/>
          <w:sz w:val="17"/>
          <w:szCs w:val="17"/>
        </w:rPr>
        <w:t xml:space="preserve">import sqlalchemy as sa</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revision = '0031'</w:t>
      </w:r>
    </w:p>
    <w:p>
      <w:pPr>
        <w:shd w:fill="F3F5F9" w:color="auto" w:val="clear"/>
        <w:spacing w:after="0" w:line="240"/>
      </w:pPr>
      <w:r>
        <w:rPr>
          <w:rFonts w:ascii="Consolas" w:cs="Consolas" w:eastAsia="Consolas" w:hAnsi="Consolas"/>
          <w:color w:val="1C2333"/>
          <w:sz w:val="17"/>
          <w:szCs w:val="17"/>
        </w:rPr>
        <w:t xml:space="preserve">down_revision = '0030'</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def upgrade() -&gt; None:</w:t>
      </w:r>
    </w:p>
    <w:p>
      <w:pPr>
        <w:shd w:fill="F3F5F9" w:color="auto" w:val="clear"/>
        <w:spacing w:after="0" w:line="240"/>
      </w:pPr>
      <w:r>
        <w:rPr>
          <w:rFonts w:ascii="Consolas" w:cs="Consolas" w:eastAsia="Consolas" w:hAnsi="Consolas"/>
          <w:color w:val="1C2333"/>
          <w:sz w:val="17"/>
          <w:szCs w:val="17"/>
        </w:rPr>
        <w:t xml:space="preserve">    op.add_column('entidades_vocabulario',</w:t>
      </w:r>
    </w:p>
    <w:p>
      <w:pPr>
        <w:shd w:fill="F3F5F9" w:color="auto" w:val="clear"/>
        <w:spacing w:after="0" w:line="240"/>
      </w:pPr>
      <w:r>
        <w:rPr>
          <w:rFonts w:ascii="Consolas" w:cs="Consolas" w:eastAsia="Consolas" w:hAnsi="Consolas"/>
          <w:color w:val="1C2333"/>
          <w:sz w:val="17"/>
          <w:szCs w:val="17"/>
        </w:rPr>
        <w:t xml:space="preserve">                  sa.Column('tipo_institucion', sa.String(40), nullable=True))</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def downgrade() -&gt; None:</w:t>
      </w:r>
    </w:p>
    <w:p>
      <w:pPr>
        <w:shd w:fill="F3F5F9" w:color="auto" w:val="clear"/>
        <w:spacing w:after="0" w:line="240"/>
      </w:pPr>
      <w:r>
        <w:rPr>
          <w:rFonts w:ascii="Consolas" w:cs="Consolas" w:eastAsia="Consolas" w:hAnsi="Consolas"/>
          <w:color w:val="1C2333"/>
          <w:sz w:val="17"/>
          <w:szCs w:val="17"/>
        </w:rPr>
        <w:t xml:space="preserve">    op.drop_column('entidades_vocabulario', 'tipo_institucion')</w:t>
      </w:r>
    </w:p>
    <w:p>
      <w:pPr>
        <w:pStyle w:val="Heading3"/>
      </w:pPr>
      <w:r>
        <w:t xml:space="preserve">Paso 2 · Modelo y lista controlada</w:t>
      </w:r>
    </w:p>
    <w:p>
      <w:pPr>
        <w:spacing w:after="120" w:line="276"/>
      </w:pPr>
      <w:r>
        <w:t xml:space="preserve">En </w:t>
      </w:r>
      <w:r>
        <w:rPr>
          <w:rFonts w:ascii="Consolas" w:cs="Consolas" w:eastAsia="Consolas" w:hAnsi="Consolas"/>
          <w:color w:val="93437F"/>
          <w:sz w:val="20"/>
          <w:szCs w:val="20"/>
        </w:rPr>
        <w:t xml:space="preserve">app/models/descripcion.py</w:t>
      </w:r>
      <w:r>
        <w:t xml:space="preserve">, junto a </w:t>
      </w:r>
      <w:r>
        <w:rPr>
          <w:rFonts w:ascii="Consolas" w:cs="Consolas" w:eastAsia="Consolas" w:hAnsi="Consolas"/>
          <w:color w:val="93437F"/>
          <w:sz w:val="20"/>
          <w:szCs w:val="20"/>
        </w:rPr>
        <w:t xml:space="preserve">ESTATUTO_JURIDICO</w:t>
      </w:r>
      <w:r>
        <w:t xml:space="preserve">, y la columna en </w:t>
      </w:r>
      <w:r>
        <w:rPr>
          <w:rFonts w:ascii="Consolas" w:cs="Consolas" w:eastAsia="Consolas" w:hAnsi="Consolas"/>
          <w:color w:val="93437F"/>
          <w:sz w:val="20"/>
          <w:szCs w:val="20"/>
        </w:rPr>
        <w:t xml:space="preserve">EntidadVocabulario</w:t>
      </w:r>
      <w:r>
        <w:t xml:space="preserve">:</w:t>
      </w:r>
    </w:p>
    <w:p>
      <w:pPr>
        <w:shd w:fill="F3F5F9" w:color="auto" w:val="clear"/>
        <w:spacing w:after="0" w:line="240"/>
      </w:pPr>
      <w:r>
        <w:rPr>
          <w:rFonts w:ascii="Consolas" w:cs="Consolas" w:eastAsia="Consolas" w:hAnsi="Consolas"/>
          <w:color w:val="1C2333"/>
          <w:sz w:val="17"/>
          <w:szCs w:val="17"/>
        </w:rPr>
        <w:t xml:space="preserve">TIPO_INSTITUCION = ('entidad_territorial', 'establecimiento_publico', 'notaria',</w:t>
      </w:r>
    </w:p>
    <w:p>
      <w:pPr>
        <w:shd w:fill="F3F5F9" w:color="auto" w:val="clear"/>
        <w:spacing w:after="0" w:line="240"/>
      </w:pPr>
      <w:r>
        <w:rPr>
          <w:rFonts w:ascii="Consolas" w:cs="Consolas" w:eastAsia="Consolas" w:hAnsi="Consolas"/>
          <w:color w:val="1C2333"/>
          <w:sz w:val="17"/>
          <w:szCs w:val="17"/>
        </w:rPr>
        <w:t xml:space="preserve">                    'junta_o_consejo', 'empresa', 'asociacion', 'comunidad_religiosa', 'otra')</w:t>
      </w:r>
    </w:p>
    <w:p>
      <w:pPr>
        <w:shd w:fill="F3F5F9" w:color="auto" w:val="clear"/>
        <w:spacing w:after="0" w:line="240"/>
      </w:pPr>
      <w:r>
        <w:rPr>
          <w:rFonts w:ascii="Consolas" w:cs="Consolas" w:eastAsia="Consolas" w:hAnsi="Consolas"/>
          <w:color w:val="1C2333"/>
          <w:sz w:val="17"/>
          <w:szCs w:val="17"/>
        </w:rPr>
        <w:t xml:space="preserve">TIPO_INSTITUCION_NOMBRE = {'entidad_territorial': 'Entidad territorial', 'notaria': 'Notaría', ...}</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    tipo_institucion = Column(String(40), nullable=True)  # RiC-A12</w:t>
      </w:r>
    </w:p>
    <w:p>
      <w:pPr>
        <w:pStyle w:val="Heading3"/>
      </w:pPr>
      <w:r>
        <w:t xml:space="preserve">Paso 3 · Campo editable y validación</w:t>
      </w:r>
    </w:p>
    <w:p>
      <w:pPr>
        <w:spacing w:after="120" w:line="276"/>
      </w:pPr>
      <w:r>
        <w:t xml:space="preserve">En </w:t>
      </w:r>
      <w:r>
        <w:rPr>
          <w:rFonts w:ascii="Consolas" w:cs="Consolas" w:eastAsia="Consolas" w:hAnsi="Consolas"/>
          <w:color w:val="93437F"/>
          <w:sz w:val="20"/>
          <w:szCs w:val="20"/>
        </w:rPr>
        <w:t xml:space="preserve">app/servicios/autoridad.py</w:t>
      </w:r>
      <w:r>
        <w:t xml:space="preserve">: agregar </w:t>
      </w:r>
      <w:r>
        <w:rPr>
          <w:rFonts w:ascii="Consolas" w:cs="Consolas" w:eastAsia="Consolas" w:hAnsi="Consolas"/>
          <w:color w:val="93437F"/>
          <w:sz w:val="20"/>
          <w:szCs w:val="20"/>
        </w:rPr>
        <w:t xml:space="preserve">'tipo_institucion'</w:t>
      </w:r>
      <w:r>
        <w:t xml:space="preserve"> a </w:t>
      </w:r>
      <w:r>
        <w:rPr>
          <w:rFonts w:ascii="Consolas" w:cs="Consolas" w:eastAsia="Consolas" w:hAnsi="Consolas"/>
          <w:color w:val="93437F"/>
          <w:sz w:val="20"/>
          <w:szCs w:val="20"/>
        </w:rPr>
        <w:t xml:space="preserve">CAMPOS_AGENTE</w:t>
      </w:r>
      <w:r>
        <w:t xml:space="preserve"> y a </w:t>
      </w:r>
      <w:r>
        <w:rPr>
          <w:rFonts w:ascii="Consolas" w:cs="Consolas" w:eastAsia="Consolas" w:hAnsi="Consolas"/>
          <w:color w:val="93437F"/>
          <w:sz w:val="20"/>
          <w:szCs w:val="20"/>
        </w:rPr>
        <w:t xml:space="preserve">AREA_DESCRIPCION</w:t>
      </w:r>
      <w:r>
        <w:t xml:space="preserve"> (cuenta para el nivel de detalle), y validarlo como el estatuto jurídico:</w:t>
      </w:r>
    </w:p>
    <w:p>
      <w:pPr>
        <w:shd w:fill="F3F5F9" w:color="auto" w:val="clear"/>
        <w:spacing w:after="0" w:line="240"/>
      </w:pPr>
      <w:r>
        <w:rPr>
          <w:rFonts w:ascii="Consolas" w:cs="Consolas" w:eastAsia="Consolas" w:hAnsi="Consolas"/>
          <w:color w:val="1C2333"/>
          <w:sz w:val="17"/>
          <w:szCs w:val="17"/>
        </w:rPr>
        <w:t xml:space="preserve">        elif campo == 'tipo_institucion':</w:t>
      </w:r>
    </w:p>
    <w:p>
      <w:pPr>
        <w:shd w:fill="F3F5F9" w:color="auto" w:val="clear"/>
        <w:spacing w:after="0" w:line="240"/>
      </w:pPr>
      <w:r>
        <w:rPr>
          <w:rFonts w:ascii="Consolas" w:cs="Consolas" w:eastAsia="Consolas" w:hAnsi="Consolas"/>
          <w:color w:val="1C2333"/>
          <w:sz w:val="17"/>
          <w:szCs w:val="17"/>
        </w:rPr>
        <w:t xml:space="preserve">            v = _texto(valor)</w:t>
      </w:r>
    </w:p>
    <w:p>
      <w:pPr>
        <w:shd w:fill="F3F5F9" w:color="auto" w:val="clear"/>
        <w:spacing w:after="0" w:line="240"/>
      </w:pPr>
      <w:r>
        <w:rPr>
          <w:rFonts w:ascii="Consolas" w:cs="Consolas" w:eastAsia="Consolas" w:hAnsi="Consolas"/>
          <w:color w:val="1C2333"/>
          <w:sz w:val="17"/>
          <w:szCs w:val="17"/>
        </w:rPr>
        <w:t xml:space="preserve">            if v and (e.subtipo != 'entidad_corporativa' or v not in TIPO_INSTITUCION):</w:t>
      </w:r>
    </w:p>
    <w:p>
      <w:pPr>
        <w:shd w:fill="F3F5F9" w:color="auto" w:val="clear"/>
        <w:spacing w:after="0" w:line="240"/>
      </w:pPr>
      <w:r>
        <w:rPr>
          <w:rFonts w:ascii="Consolas" w:cs="Consolas" w:eastAsia="Consolas" w:hAnsi="Consolas"/>
          <w:color w:val="1C2333"/>
          <w:sz w:val="17"/>
          <w:szCs w:val="17"/>
        </w:rPr>
        <w:t xml:space="preserve">                raise ErrorAutoridad('El tipo de institución es solo para instituciones, y de la lista.')</w:t>
      </w:r>
    </w:p>
    <w:p>
      <w:pPr>
        <w:shd w:fill="F3F5F9" w:color="auto" w:val="clear"/>
        <w:spacing w:after="0" w:line="240"/>
      </w:pPr>
      <w:r>
        <w:rPr>
          <w:rFonts w:ascii="Consolas" w:cs="Consolas" w:eastAsia="Consolas" w:hAnsi="Consolas"/>
          <w:color w:val="1C2333"/>
          <w:sz w:val="17"/>
          <w:szCs w:val="17"/>
        </w:rPr>
        <w:t xml:space="preserve">            nuevos[campo] = v</w:t>
      </w:r>
    </w:p>
    <w:p>
      <w:pPr>
        <w:pStyle w:val="Heading3"/>
      </w:pPr>
      <w:r>
        <w:t xml:space="preserve">Paso 4 · Mapeo único a RiC-O (verificado en el OWL)</w:t>
      </w:r>
    </w:p>
    <w:p>
      <w:pPr>
        <w:spacing w:after="120" w:line="276"/>
      </w:pPr>
      <w:r>
        <w:t xml:space="preserve">En </w:t>
      </w:r>
      <w:r>
        <w:rPr>
          <w:rFonts w:ascii="Consolas" w:cs="Consolas" w:eastAsia="Consolas" w:hAnsi="Consolas"/>
          <w:color w:val="93437F"/>
          <w:sz w:val="20"/>
          <w:szCs w:val="20"/>
        </w:rPr>
        <w:t xml:space="preserve">app/servicios/ric_o.py</w:t>
      </w:r>
      <w:r>
        <w:t xml:space="preserve">, diccionario </w:t>
      </w:r>
      <w:r>
        <w:rPr>
          <w:rFonts w:ascii="Consolas" w:cs="Consolas" w:eastAsia="Consolas" w:hAnsi="Consolas"/>
          <w:color w:val="93437F"/>
          <w:sz w:val="20"/>
          <w:szCs w:val="20"/>
        </w:rPr>
        <w:t xml:space="preserve">APOYO</w:t>
      </w:r>
      <w:r>
        <w:t xml:space="preserve">. Dominio y rango comprobados: </w:t>
      </w:r>
      <w:r>
        <w:rPr>
          <w:rFonts w:ascii="Consolas" w:cs="Consolas" w:eastAsia="Consolas" w:hAnsi="Consolas"/>
          <w:color w:val="93437F"/>
          <w:sz w:val="20"/>
          <w:szCs w:val="20"/>
        </w:rPr>
        <w:t xml:space="preserve">hasOrHadCorporateBodyType</w:t>
      </w:r>
      <w:r>
        <w:t xml:space="preserve"> va de CorporateBody a CorporateBodyType.</w:t>
      </w:r>
    </w:p>
    <w:p>
      <w:pPr>
        <w:shd w:fill="F3F5F9" w:color="auto" w:val="clear"/>
        <w:spacing w:after="0" w:line="240"/>
      </w:pPr>
      <w:r>
        <w:rPr>
          <w:rFonts w:ascii="Consolas" w:cs="Consolas" w:eastAsia="Consolas" w:hAnsi="Consolas"/>
          <w:color w:val="1C2333"/>
          <w:sz w:val="17"/>
          <w:szCs w:val="17"/>
        </w:rPr>
        <w:t xml:space="preserve">    'tipo_institucion': ('hasOrHadCorporateBodyType', ('CorporateBody',), 'CorporateBodyType'),</w:t>
      </w:r>
    </w:p>
    <w:p>
      <w:pPr>
        <w:spacing w:after="120" w:line="276"/>
      </w:pPr>
      <w:r>
        <w:t xml:space="preserve">Y agregar </w:t>
      </w:r>
      <w:r>
        <w:rPr>
          <w:rFonts w:ascii="Consolas" w:cs="Consolas" w:eastAsia="Consolas" w:hAnsi="Consolas"/>
          <w:color w:val="93437F"/>
          <w:sz w:val="20"/>
          <w:szCs w:val="20"/>
        </w:rPr>
        <w:t xml:space="preserve">'CorporateBodyType'</w:t>
      </w:r>
      <w:r>
        <w:t xml:space="preserve"> al conjunto de clases que comprueba </w:t>
      </w:r>
      <w:r>
        <w:rPr>
          <w:rFonts w:ascii="Consolas" w:cs="Consolas" w:eastAsia="Consolas" w:hAnsi="Consolas"/>
          <w:color w:val="93437F"/>
          <w:sz w:val="20"/>
          <w:szCs w:val="20"/>
        </w:rPr>
        <w:t xml:space="preserve">verificar_contra_owl()</w:t>
      </w:r>
      <w:r>
        <w:t xml:space="preserve">.</w:t>
      </w:r>
    </w:p>
    <w:p>
      <w:pPr>
        <w:pStyle w:val="Heading3"/>
      </w:pPr>
      <w:r>
        <w:t xml:space="preserve">Paso 5 · Exportación</w:t>
      </w:r>
    </w:p>
    <w:p>
      <w:pPr>
        <w:spacing w:after="120" w:line="276"/>
      </w:pPr>
      <w:r>
        <w:t xml:space="preserve">En </w:t>
      </w:r>
      <w:r>
        <w:rPr>
          <w:rFonts w:ascii="Consolas" w:cs="Consolas" w:eastAsia="Consolas" w:hAnsi="Consolas"/>
          <w:color w:val="93437F"/>
          <w:sz w:val="20"/>
          <w:szCs w:val="20"/>
        </w:rPr>
        <w:t xml:space="preserve">app/servicios/exportacion_rico.py</w:t>
      </w:r>
      <w:r>
        <w:t xml:space="preserve">, función </w:t>
      </w:r>
      <w:r>
        <w:rPr>
          <w:rFonts w:ascii="Consolas" w:cs="Consolas" w:eastAsia="Consolas" w:hAnsi="Consolas"/>
          <w:color w:val="93437F"/>
          <w:sz w:val="20"/>
          <w:szCs w:val="20"/>
        </w:rPr>
        <w:t xml:space="preserve">_entidad</w:t>
      </w:r>
      <w:r>
        <w:t xml:space="preserve">, al lado del estatuto jurídico:</w:t>
      </w:r>
    </w:p>
    <w:p>
      <w:pPr>
        <w:shd w:fill="F3F5F9" w:color="auto" w:val="clear"/>
        <w:spacing w:after="0" w:line="240"/>
      </w:pPr>
      <w:r>
        <w:rPr>
          <w:rFonts w:ascii="Consolas" w:cs="Consolas" w:eastAsia="Consolas" w:hAnsi="Consolas"/>
          <w:color w:val="1C2333"/>
          <w:sz w:val="17"/>
          <w:szCs w:val="17"/>
        </w:rPr>
        <w:t xml:space="preserve">    if e.clase == 'agente' and e.tipo_institucion:</w:t>
      </w:r>
    </w:p>
    <w:p>
      <w:pPr>
        <w:shd w:fill="F3F5F9" w:color="auto" w:val="clear"/>
        <w:spacing w:after="0" w:line="240"/>
      </w:pPr>
      <w:r>
        <w:rPr>
          <w:rFonts w:ascii="Consolas" w:cs="Consolas" w:eastAsia="Consolas" w:hAnsi="Consolas"/>
          <w:color w:val="1C2333"/>
          <w:sz w:val="17"/>
          <w:szCs w:val="17"/>
        </w:rPr>
        <w:t xml:space="preserve">        prop, clase_ap = _apoyo('tipo_institucion')</w:t>
      </w:r>
    </w:p>
    <w:p>
      <w:pPr>
        <w:shd w:fill="F3F5F9" w:color="auto" w:val="clear"/>
        <w:spacing w:after="0" w:line="240"/>
      </w:pPr>
      <w:r>
        <w:rPr>
          <w:rFonts w:ascii="Consolas" w:cs="Consolas" w:eastAsia="Consolas" w:hAnsi="Consolas"/>
          <w:color w:val="1C2333"/>
          <w:sz w:val="17"/>
          <w:szCs w:val="17"/>
        </w:rPr>
        <w:t xml:space="preserve">        g.add((s, prop, _concepto(ex, 'tipo-de-institucion', e.tipo_institucion, clase_ap,</w:t>
      </w:r>
    </w:p>
    <w:p>
      <w:pPr>
        <w:shd w:fill="F3F5F9" w:color="auto" w:val="clear"/>
        <w:spacing w:after="0" w:line="240"/>
      </w:pPr>
      <w:r>
        <w:rPr>
          <w:rFonts w:ascii="Consolas" w:cs="Consolas" w:eastAsia="Consolas" w:hAnsi="Consolas"/>
          <w:color w:val="1C2333"/>
          <w:sz w:val="17"/>
          <w:szCs w:val="17"/>
        </w:rPr>
        <w:t xml:space="preserve">                                  TIPO_INSTITUCION_NOMBRE[e.tipo_institucion])))</w:t>
      </w:r>
    </w:p>
    <w:p>
      <w:pPr>
        <w:pStyle w:val="Heading3"/>
      </w:pPr>
      <w:r>
        <w:t xml:space="preserve">Paso 6 · Perfil SHACL</w:t>
      </w:r>
    </w:p>
    <w:p>
      <w:pPr>
        <w:spacing w:after="120" w:line="276"/>
      </w:pPr>
      <w:r>
        <w:t xml:space="preserve">En </w:t>
      </w:r>
      <w:r>
        <w:rPr>
          <w:rFonts w:ascii="Consolas" w:cs="Consolas" w:eastAsia="Consolas" w:hAnsi="Consolas"/>
          <w:color w:val="93437F"/>
          <w:sz w:val="20"/>
          <w:szCs w:val="20"/>
        </w:rPr>
        <w:t xml:space="preserve">app/recursos/ric-o/perfil-ricora.shacl.ttl</w:t>
      </w:r>
      <w:r>
        <w:t xml:space="preserve">, en la forma del agente:</w:t>
      </w:r>
    </w:p>
    <w:p>
      <w:pPr>
        <w:shd w:fill="F3F5F9" w:color="auto" w:val="clear"/>
        <w:spacing w:after="0" w:line="240"/>
      </w:pPr>
      <w:r>
        <w:rPr>
          <w:rFonts w:ascii="Consolas" w:cs="Consolas" w:eastAsia="Consolas" w:hAnsi="Consolas"/>
          <w:color w:val="1C2333"/>
          <w:sz w:val="17"/>
          <w:szCs w:val="17"/>
        </w:rPr>
        <w:t xml:space="preserve">    sh:property [ sh:path rico:hasOrHadCorporateBodyType ; sh:maxCount 1 ;</w:t>
      </w:r>
    </w:p>
    <w:p>
      <w:pPr>
        <w:shd w:fill="F3F5F9" w:color="auto" w:val="clear"/>
        <w:spacing w:after="0" w:line="240"/>
      </w:pPr>
      <w:r>
        <w:rPr>
          <w:rFonts w:ascii="Consolas" w:cs="Consolas" w:eastAsia="Consolas" w:hAnsi="Consolas"/>
          <w:color w:val="1C2333"/>
          <w:sz w:val="17"/>
          <w:szCs w:val="17"/>
        </w:rPr>
        <w:t xml:space="preserve">                  sh:class rico:CorporateBodyType ] ;</w:t>
      </w:r>
    </w:p>
    <w:p>
      <w:pPr>
        <w:pStyle w:val="Heading3"/>
      </w:pPr>
      <w:r>
        <w:t xml:space="preserve">Paso 7 · Formulario</w:t>
      </w:r>
    </w:p>
    <w:p>
      <w:pPr>
        <w:spacing w:after="120" w:line="276"/>
      </w:pPr>
      <w:r>
        <w:t xml:space="preserve">En </w:t>
      </w:r>
      <w:r>
        <w:rPr>
          <w:rFonts w:ascii="Consolas" w:cs="Consolas" w:eastAsia="Consolas" w:hAnsi="Consolas"/>
          <w:color w:val="93437F"/>
          <w:sz w:val="20"/>
          <w:szCs w:val="20"/>
        </w:rPr>
        <w:t xml:space="preserve">frontend/src/components/FichaAutoridad.tsx</w:t>
      </w:r>
      <w:r>
        <w:t xml:space="preserve">, junto a «Estatuto jurídico»:</w:t>
      </w:r>
    </w:p>
    <w:p>
      <w:pPr>
        <w:shd w:fill="F3F5F9" w:color="auto" w:val="clear"/>
        <w:spacing w:after="0" w:line="240"/>
      </w:pPr>
      <w:r>
        <w:rPr>
          <w:rFonts w:ascii="Consolas" w:cs="Consolas" w:eastAsia="Consolas" w:hAnsi="Consolas"/>
          <w:color w:val="1C2333"/>
          <w:sz w:val="17"/>
          <w:szCs w:val="17"/>
        </w:rPr>
        <w:t xml:space="preserve">const TIPO_INSTITUCION: Record&lt;string, string&gt; = { entidad_territorial: 'Entidad territorial',</w:t>
      </w:r>
    </w:p>
    <w:p>
      <w:pPr>
        <w:shd w:fill="F3F5F9" w:color="auto" w:val="clear"/>
        <w:spacing w:after="0" w:line="240"/>
      </w:pPr>
      <w:r>
        <w:rPr>
          <w:rFonts w:ascii="Consolas" w:cs="Consolas" w:eastAsia="Consolas" w:hAnsi="Consolas"/>
          <w:color w:val="1C2333"/>
          <w:sz w:val="17"/>
          <w:szCs w:val="17"/>
        </w:rPr>
        <w:t xml:space="preserve">  establecimiento_publico: 'Establecimiento público', notaria: 'Notaría', /* … */ };</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{corporativa &amp;&amp; &lt;ListaEditable etiqueta='Tipo de institución' campo='tipo_institucion'</w:t>
      </w:r>
    </w:p>
    <w:p>
      <w:pPr>
        <w:shd w:fill="F3F5F9" w:color="auto" w:val="clear"/>
        <w:spacing w:after="0" w:line="240"/>
      </w:pPr>
      <w:r>
        <w:rPr>
          <w:rFonts w:ascii="Consolas" w:cs="Consolas" w:eastAsia="Consolas" w:hAnsi="Consolas"/>
          <w:color w:val="1C2333"/>
          <w:sz w:val="17"/>
          <w:szCs w:val="17"/>
        </w:rPr>
        <w:t xml:space="preserve">   valor={(f.campos.tipo_institucion as string) || null} opciones={TIPO_INSTITUCION} {...comun} /&gt;}</w:t>
      </w:r>
    </w:p>
    <w:p>
      <w:pPr>
        <w:pStyle w:val="Heading3"/>
      </w:pPr>
      <w:r>
        <w:t xml:space="preserve">Paso 8 · Prueba automática</w:t>
      </w:r>
    </w:p>
    <w:p>
      <w:pPr>
        <w:spacing w:after="120" w:line="276"/>
      </w:pPr>
      <w:r>
        <w:t xml:space="preserve">En </w:t>
      </w:r>
      <w:r>
        <w:rPr>
          <w:rFonts w:ascii="Consolas" w:cs="Consolas" w:eastAsia="Consolas" w:hAnsi="Consolas"/>
          <w:color w:val="93437F"/>
          <w:sz w:val="20"/>
          <w:szCs w:val="20"/>
        </w:rPr>
        <w:t xml:space="preserve">tests/test_especializacion_ric.py</w:t>
      </w:r>
      <w:r>
        <w:t xml:space="preserve"> (o un archivo nuevo), primero en rojo y luego en verde:</w:t>
      </w:r>
    </w:p>
    <w:p>
      <w:pPr>
        <w:shd w:fill="F3F5F9" w:color="auto" w:val="clear"/>
        <w:spacing w:after="0" w:line="240"/>
      </w:pPr>
      <w:r>
        <w:rPr>
          <w:rFonts w:ascii="Consolas" w:cs="Consolas" w:eastAsia="Consolas" w:hAnsi="Consolas"/>
          <w:color w:val="1C2333"/>
          <w:sz w:val="17"/>
          <w:szCs w:val="17"/>
        </w:rPr>
        <w:t xml:space="preserve">def test_tipo_de_institucion_sale_como_corporate_body_type(cliente, db, fondo, archivista):</w:t>
      </w:r>
    </w:p>
    <w:p>
      <w:pPr>
        <w:shd w:fill="F3F5F9" w:color="auto" w:val="clear"/>
        <w:spacing w:after="0" w:line="240"/>
      </w:pPr>
      <w:r>
        <w:rPr>
          <w:rFonts w:ascii="Consolas" w:cs="Consolas" w:eastAsia="Consolas" w:hAnsi="Consolas"/>
          <w:color w:val="1C2333"/>
          <w:sz w:val="17"/>
          <w:szCs w:val="17"/>
        </w:rPr>
        <w:t xml:space="preserve">    a = agente(db, fondo, 'Alcaldía de Tunja', 'entidad_corporativa')</w:t>
      </w:r>
    </w:p>
    <w:p>
      <w:pPr>
        <w:shd w:fill="F3F5F9" w:color="auto" w:val="clear"/>
        <w:spacing w:after="0" w:line="240"/>
      </w:pPr>
      <w:r>
        <w:rPr>
          <w:rFonts w:ascii="Consolas" w:cs="Consolas" w:eastAsia="Consolas" w:hAnsi="Consolas"/>
          <w:color w:val="1C2333"/>
          <w:sz w:val="17"/>
          <w:szCs w:val="17"/>
        </w:rPr>
        <w:t xml:space="preserve">    r = cliente.patch(f'/api/vocabulario/{a.id}', headers=archivista,</w:t>
      </w:r>
    </w:p>
    <w:p>
      <w:pPr>
        <w:shd w:fill="F3F5F9" w:color="auto" w:val="clear"/>
        <w:spacing w:after="0" w:line="240"/>
      </w:pPr>
      <w:r>
        <w:rPr>
          <w:rFonts w:ascii="Consolas" w:cs="Consolas" w:eastAsia="Consolas" w:hAnsi="Consolas"/>
          <w:color w:val="1C2333"/>
          <w:sz w:val="17"/>
          <w:szCs w:val="17"/>
        </w:rPr>
        <w:t xml:space="preserve">                      json={'tipo_institucion': 'entidad_territorial'})</w:t>
      </w:r>
    </w:p>
    <w:p>
      <w:pPr>
        <w:shd w:fill="F3F5F9" w:color="auto" w:val="clear"/>
        <w:spacing w:after="0" w:line="240"/>
      </w:pPr>
      <w:r>
        <w:rPr>
          <w:rFonts w:ascii="Consolas" w:cs="Consolas" w:eastAsia="Consolas" w:hAnsi="Consolas"/>
          <w:color w:val="1C2333"/>
          <w:sz w:val="17"/>
          <w:szCs w:val="17"/>
        </w:rPr>
        <w:t xml:space="preserve">    assert r.status_code == 200</w:t>
      </w:r>
    </w:p>
    <w:p>
      <w:pPr>
        <w:shd w:fill="F3F5F9" w:color="auto" w:val="clear"/>
        <w:spacing w:after="0" w:line="240"/>
      </w:pPr>
      <w:r>
        <w:rPr>
          <w:rFonts w:ascii="Consolas" w:cs="Consolas" w:eastAsia="Consolas" w:hAnsi="Consolas"/>
          <w:color w:val="1C2333"/>
          <w:sz w:val="17"/>
          <w:szCs w:val="17"/>
        </w:rPr>
        <w:t xml:space="preserve">    relacion(db, documento(db, fondo), a, 'has_creator')</w:t>
      </w:r>
    </w:p>
    <w:p>
      <w:pPr>
        <w:shd w:fill="F3F5F9" w:color="auto" w:val="clear"/>
        <w:spacing w:after="0" w:line="240"/>
      </w:pPr>
      <w:r>
        <w:rPr>
          <w:rFonts w:ascii="Consolas" w:cs="Consolas" w:eastAsia="Consolas" w:hAnsi="Consolas"/>
          <w:color w:val="1C2333"/>
          <w:sz w:val="17"/>
          <w:szCs w:val="17"/>
        </w:rPr>
        <w:t xml:space="preserve">    g = exportar_conforme(db, fondo).grafo          # verifica OWL y SHACL</w:t>
      </w:r>
    </w:p>
    <w:p>
      <w:pPr>
        <w:shd w:fill="F3F5F9" w:color="auto" w:val="clear"/>
        <w:spacing w:after="0" w:line="240"/>
      </w:pPr>
      <w:r>
        <w:rPr>
          <w:rFonts w:ascii="Consolas" w:cs="Consolas" w:eastAsia="Consolas" w:hAnsi="Consolas"/>
          <w:color w:val="1C2333"/>
          <w:sz w:val="17"/>
          <w:szCs w:val="17"/>
        </w:rPr>
        <w:t xml:space="preserve">    t = uno(g, u(a.id), RICO.hasOrHadCorporateBodyType)</w:t>
      </w:r>
    </w:p>
    <w:p>
      <w:pPr>
        <w:shd w:fill="F3F5F9" w:color="auto" w:val="clear"/>
        <w:spacing w:after="0" w:line="240"/>
      </w:pPr>
      <w:r>
        <w:rPr>
          <w:rFonts w:ascii="Consolas" w:cs="Consolas" w:eastAsia="Consolas" w:hAnsi="Consolas"/>
          <w:color w:val="1C2333"/>
          <w:sz w:val="17"/>
          <w:szCs w:val="17"/>
        </w:rPr>
        <w:t xml:space="preserve">    assert (t, RDF.type, RICO.CorporateBodyType) in g</w:t>
      </w:r>
    </w:p>
    <w:p>
      <w:pPr>
        <w:shd w:fill="F3F5F9" w:color="auto" w:val="clear"/>
        <w:spacing w:after="0" w:line="240"/>
      </w:pPr>
      <w:r>
        <w:rPr>
          <w:rFonts w:ascii="Consolas" w:cs="Consolas" w:eastAsia="Consolas" w:hAnsi="Consolas"/>
          <w:color w:val="1C2333"/>
          <w:sz w:val="17"/>
          <w:szCs w:val="17"/>
        </w:rPr>
        <w:t xml:space="preserve">    # Una persona no puede tener tipo de institución:</w:t>
      </w:r>
    </w:p>
    <w:p>
      <w:pPr>
        <w:shd w:fill="F3F5F9" w:color="auto" w:val="clear"/>
        <w:spacing w:after="0" w:line="240"/>
      </w:pPr>
      <w:r>
        <w:rPr>
          <w:rFonts w:ascii="Consolas" w:cs="Consolas" w:eastAsia="Consolas" w:hAnsi="Consolas"/>
          <w:color w:val="1C2333"/>
          <w:sz w:val="17"/>
          <w:szCs w:val="17"/>
        </w:rPr>
        <w:t xml:space="preserve">    p = agente(db, fondo, 'Gaitán')</w:t>
      </w:r>
    </w:p>
    <w:p>
      <w:pPr>
        <w:shd w:fill="F3F5F9" w:color="auto" w:val="clear"/>
        <w:spacing w:after="0" w:line="240"/>
      </w:pPr>
      <w:r>
        <w:rPr>
          <w:rFonts w:ascii="Consolas" w:cs="Consolas" w:eastAsia="Consolas" w:hAnsi="Consolas"/>
          <w:color w:val="1C2333"/>
          <w:sz w:val="17"/>
          <w:szCs w:val="17"/>
        </w:rPr>
        <w:t xml:space="preserve">    assert cliente.patch(f'/api/vocabulario/{p.id}', headers=archivista,</w:t>
      </w:r>
    </w:p>
    <w:p>
      <w:pPr>
        <w:shd w:fill="F3F5F9" w:color="auto" w:val="clear"/>
        <w:spacing w:after="0" w:line="240"/>
      </w:pPr>
      <w:r>
        <w:rPr>
          <w:rFonts w:ascii="Consolas" w:cs="Consolas" w:eastAsia="Consolas" w:hAnsi="Consolas"/>
          <w:color w:val="1C2333"/>
          <w:sz w:val="17"/>
          <w:szCs w:val="17"/>
        </w:rPr>
        <w:t xml:space="preserve">                         json={'tipo_institucion': 'notaria'}).status_code == 422</w:t>
      </w:r>
    </w:p>
    <w:p>
      <w:pPr>
        <w:pStyle w:val="Heading1"/>
      </w:pPr>
      <w:r>
        <w:t xml:space="preserve">G3. Los 13 atributos: los datos de cada receta</w:t>
      </w:r>
    </w:p>
    <w:p>
      <w:pPr>
        <w:spacing w:after="120" w:line="276"/>
      </w:pPr>
      <w:r>
        <w:t xml:space="preserve">Cada fila aplica la receta G2 con sus propios valores. Lo marcado como «automático» no necesita formulario: el sistema ya conoce el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2200"/>
        <w:gridCol w:w="2210"/>
        <w:gridCol w:w="1600"/>
      </w:tblGrid>
      <w:tr>
        <w:trPr>
          <w:tblHeader/>
        </w:trPr>
        <w:tc>
          <w:tcPr>
            <w:tcW w:type="dxa" w:w="15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Atributo</w:t>
            </w:r>
          </w:p>
        </w:tc>
        <w:tc>
          <w:tcPr>
            <w:tcW w:type="dxa" w:w="185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Columna nueva (tabla)</w:t>
            </w:r>
          </w:p>
        </w:tc>
        <w:tc>
          <w:tcPr>
            <w:tcW w:type="dxa" w:w="22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Propiedad RiC-O (dominio → clase)</w:t>
            </w:r>
          </w:p>
        </w:tc>
        <w:tc>
          <w:tcPr>
            <w:tcW w:type="dxa" w:w="221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Valores o fuente</w:t>
            </w:r>
          </w:p>
        </w:tc>
        <w:tc>
          <w:tcPr>
            <w:tcW w:type="dxa" w:w="16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Dónde se captura</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A12 Tipo de institución</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tipo_institucion (entidades_vocabulario)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hasOrHadCorporateBodyType (CorporateBody → CorporateBodyType)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Entidad territorial, establecimiento público, notaría, junta, empresa, asociación, comunidad religiosa, otra</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la institución</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A20 Tipo de familia</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tipo_familia (entidades_vocabulario)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hasFamilyType (Family → FamilyType)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Nuclear, extensa, linaje, clan, otra</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la familia</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A30 Ocupación</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tabla ocupaciones_agente (varias por persona, con vigencia EDTF)</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hasOrHadOccupationOfType (Person → OccupationType)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Lista abierta SKOS del fondo (escribano, abogado, comerciante…)</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la persona</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A15 Grupo demográfico</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grupo_demografico (entidades_vocabulario)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hasOrHadDemographicGroup (Person, Group → DemographicGroup)</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Lista SKOS. Es un dato sensible (Ley 1581 de 2012): solo si el documento lo justifica, y nunca en lo público</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la persona o el grupo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A18 Tipo de evento</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ninguna: ya existe Hito.tipo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hasEventType (Event → EventType)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Automático: creación, reforma, traslado, supresión, otro</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Ya se captura en los hitos</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A10 Tipo de contenido</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tipo_contenido (recursos_documentales)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hasContentOfType (Record, RecordPart → ContentType)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Texto, imagen fija, cartográfico, sonoro, audiovisual, mixto</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A39 Estado (tradición documental)</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tradicion_documental (recursos_documentales)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hasRecordState (Record, RecordPart → RecordState)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Original, copia, copia autenticada, borrador, minuta</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A07 Clasificación</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ninguna: sale de la serie y la TRD</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classification (RecordResource, texto)</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Automático: código de clasificación de la serie o subserie</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Ya existe en la TRD</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A24 Integridad (completitud)</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integridad (recursos_documentales)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integrityNote (RecordResource, texto)</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Texto: «faltan los folios 12 a 15», «expediente completo»</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 junto a folios</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A33 Técnica de producción</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tecnica_produccion (instanciaciones)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hasProductionTechniqueType (Instantiation → ProductionTechniqueType)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Manuscrito, mecanografiado, impreso, fotocopia, digitalizado, nacido digital</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Original físico; en lo digital, automático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A37 Tipo de representación</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ninguna</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hasRepresentationType (Instantiation → RepresentationType)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Automático: analógica si es el original físico; digital en los demás</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necesita formulario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A04 Extensión del soporte</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unidades_fisicas, dimensiones (instanciaciones)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hasExtent → CarrierExtent con quantity y unitOfMeasurement</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Número de hojas o unidades y medidas (por ejemplo, 21,5 × 33 cm)</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Original físico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A27 Ubicación de un lugar</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direccion (entidades_vocabulario)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location (Place, texto)</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Dirección o delimitación del lugar</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ampliada del lugar</w:t>
            </w:r>
          </w:p>
        </w:tc>
      </w:tr>
    </w:tbl>
    <w:p>
      <w:pPr>
        <w:spacing w:before="120"/>
      </w:pPr>
      <w:r>
        <w:rPr>
          <w:b/>
          <w:bCs/>
        </w:rPr>
        <w:t xml:space="preserve">Dos trampas que la receta evita: </w:t>
      </w:r>
      <w:r>
        <w:t xml:space="preserve">«Location» (A27) es de un Lugar, no del documento ni de la caja; «Estado» (A39) es la tradición documental del documento, no el estado de la ficha (borrador o publicada).</w:t>
      </w:r>
    </w:p>
    <w:p>
      <w:pPr>
        <w:pStyle w:val="Heading1"/>
      </w:pPr>
      <w:r>
        <w:t xml:space="preserve">G4. Recetas del resto de faltantes</w:t>
      </w:r>
    </w:p>
    <w:p>
      <w:pPr>
        <w:pStyle w:val="Heading2"/>
      </w:pPr>
      <w:r>
        <w:t xml:space="preserve">N9 · Calendario en la fecha expresada</w:t>
      </w:r>
    </w:p>
    <w:p>
      <w:pPr>
        <w:pStyle w:val="ListParagraph"/>
        <w:numPr>
          <w:ilvl w:val="0"/>
          <w:numId w:val="17"/>
        </w:numPr>
        <w:spacing w:after="60"/>
      </w:pPr>
      <w:r>
        <w:t xml:space="preserve">En </w:t>
      </w:r>
      <w:r>
        <w:rPr>
          <w:rFonts w:ascii="Consolas" w:cs="Consolas" w:eastAsia="Consolas" w:hAnsi="Consolas"/>
          <w:color w:val="93437F"/>
          <w:sz w:val="20"/>
          <w:szCs w:val="20"/>
        </w:rPr>
        <w:t xml:space="preserve">exportacion_rico._fecha</w:t>
      </w:r>
      <w:r>
        <w:t xml:space="preserve">: si </w:t>
      </w:r>
      <w:r>
        <w:rPr>
          <w:rFonts w:ascii="Consolas" w:cs="Consolas" w:eastAsia="Consolas" w:hAnsi="Consolas"/>
          <w:color w:val="93437F"/>
          <w:sz w:val="20"/>
          <w:szCs w:val="20"/>
        </w:rPr>
        <w:t xml:space="preserve">f.calendario</w:t>
      </w:r>
      <w:r>
        <w:t xml:space="preserve"> no es gregoriano, escribir la expresión con su calendario —«8 de marzo de 1548 (calendario juliano)»— y no escribir forma normalizada.</w:t>
      </w:r>
    </w:p>
    <w:p>
      <w:pPr>
        <w:pStyle w:val="ListParagraph"/>
        <w:numPr>
          <w:ilvl w:val="0"/>
          <w:numId w:val="17"/>
        </w:numPr>
        <w:spacing w:after="60"/>
      </w:pPr>
      <w:r>
        <w:t xml:space="preserve">Quitar el conteo «calendario distinto del gregoriano» de </w:t>
      </w:r>
      <w:r>
        <w:rPr>
          <w:rFonts w:ascii="Consolas" w:cs="Consolas" w:eastAsia="Consolas" w:hAnsi="Consolas"/>
          <w:color w:val="93437F"/>
          <w:sz w:val="20"/>
          <w:szCs w:val="20"/>
        </w:rPr>
        <w:t xml:space="preserve">omitidas</w:t>
      </w:r>
      <w:r>
        <w:t xml:space="preserve">.</w:t>
      </w:r>
    </w:p>
    <w:p>
      <w:pPr>
        <w:pStyle w:val="ListParagraph"/>
        <w:numPr>
          <w:ilvl w:val="0"/>
          <w:numId w:val="17"/>
        </w:numPr>
        <w:spacing w:after="60"/>
      </w:pPr>
      <w:r>
        <w:t xml:space="preserve">Ajustar </w:t>
      </w:r>
      <w:r>
        <w:rPr>
          <w:rFonts w:ascii="Consolas" w:cs="Consolas" w:eastAsia="Consolas" w:hAnsi="Consolas"/>
          <w:color w:val="93437F"/>
          <w:sz w:val="20"/>
          <w:szCs w:val="20"/>
        </w:rPr>
        <w:t xml:space="preserve">tests/test_exportacion_rico.py::test_no_sale_nada_interno…</w:t>
      </w:r>
      <w:r>
        <w:t xml:space="preserve">, que hoy exige que «juliano» no salga: es una decisión que cambia y debe quedar escrita.</w:t>
      </w:r>
    </w:p>
    <w:p>
      <w:pPr>
        <w:pStyle w:val="Heading2"/>
      </w:pPr>
      <w:r>
        <w:t xml:space="preserve">N7 · Un documento en otra agrupación con su propio orden (rico:Proxy)</w:t>
      </w:r>
    </w:p>
    <w:p>
      <w:pPr>
        <w:pStyle w:val="ListParagraph"/>
        <w:numPr>
          <w:ilvl w:val="0"/>
          <w:numId w:val="18"/>
        </w:numPr>
        <w:spacing w:after="60"/>
      </w:pPr>
      <w:r>
        <w:t xml:space="preserve">Migración: columna </w:t>
      </w:r>
      <w:r>
        <w:rPr>
          <w:rFonts w:ascii="Consolas" w:cs="Consolas" w:eastAsia="Consolas" w:hAnsi="Consolas"/>
          <w:color w:val="93437F"/>
          <w:sz w:val="20"/>
          <w:szCs w:val="20"/>
        </w:rPr>
        <w:t xml:space="preserve">posicion</w:t>
      </w:r>
      <w:r>
        <w:t xml:space="preserve"> (entero) en la relación de inclusión adicional (CM-21).</w:t>
      </w:r>
    </w:p>
    <w:p>
      <w:pPr>
        <w:pStyle w:val="ListParagraph"/>
        <w:numPr>
          <w:ilvl w:val="0"/>
          <w:numId w:val="18"/>
        </w:numPr>
        <w:spacing w:after="60"/>
      </w:pPr>
      <w:r>
        <w:t xml:space="preserve">Exportación: por cada inclusión adicional, un nodo </w:t>
      </w:r>
      <w:r>
        <w:rPr>
          <w:rFonts w:ascii="Consolas" w:cs="Consolas" w:eastAsia="Consolas" w:hAnsi="Consolas"/>
          <w:color w:val="93437F"/>
          <w:sz w:val="20"/>
          <w:szCs w:val="20"/>
        </w:rPr>
        <w:t xml:space="preserve">rico:Proxy</w:t>
      </w:r>
      <w:r>
        <w:t xml:space="preserve"> con </w:t>
      </w:r>
      <w:r>
        <w:rPr>
          <w:rFonts w:ascii="Consolas" w:cs="Consolas" w:eastAsia="Consolas" w:hAnsi="Consolas"/>
          <w:color w:val="93437F"/>
          <w:sz w:val="20"/>
          <w:szCs w:val="20"/>
        </w:rPr>
        <w:t xml:space="preserve">proxyFor</w:t>
      </w:r>
      <w:r>
        <w:t xml:space="preserve"> (el documento), </w:t>
      </w:r>
      <w:r>
        <w:rPr>
          <w:rFonts w:ascii="Consolas" w:cs="Consolas" w:eastAsia="Consolas" w:hAnsi="Consolas"/>
          <w:color w:val="93437F"/>
          <w:sz w:val="20"/>
          <w:szCs w:val="20"/>
        </w:rPr>
        <w:t xml:space="preserve">proxyIn</w:t>
      </w:r>
      <w:r>
        <w:t xml:space="preserve"> (la agrupación) y </w:t>
      </w:r>
      <w:r>
        <w:rPr>
          <w:rFonts w:ascii="Consolas" w:cs="Consolas" w:eastAsia="Consolas" w:hAnsi="Consolas"/>
          <w:color w:val="93437F"/>
          <w:sz w:val="20"/>
          <w:szCs w:val="20"/>
        </w:rPr>
        <w:t xml:space="preserve">rankInSequence</w:t>
      </w:r>
      <w:r>
        <w:t xml:space="preserve"> (la posición).</w:t>
      </w:r>
    </w:p>
    <w:p>
      <w:pPr>
        <w:pStyle w:val="ListParagraph"/>
        <w:numPr>
          <w:ilvl w:val="0"/>
          <w:numId w:val="18"/>
        </w:numPr>
        <w:spacing w:after="60"/>
      </w:pPr>
      <w:r>
        <w:t xml:space="preserve">SHACL: forma para </w:t>
      </w:r>
      <w:r>
        <w:rPr>
          <w:rFonts w:ascii="Consolas" w:cs="Consolas" w:eastAsia="Consolas" w:hAnsi="Consolas"/>
          <w:color w:val="93437F"/>
          <w:sz w:val="20"/>
          <w:szCs w:val="20"/>
        </w:rPr>
        <w:t xml:space="preserve">rico:Proxy</w:t>
      </w:r>
      <w:r>
        <w:t xml:space="preserve"> con proxyFor y proxyIn obligatorios. Prueba: el mismo documento con orden 3 en un expediente y 7 en otro.</w:t>
      </w:r>
    </w:p>
    <w:p>
      <w:pPr>
        <w:pStyle w:val="Heading2"/>
      </w:pPr>
      <w:r>
        <w:t xml:space="preserve">N6 · Los instrumentos como documentos</w:t>
      </w:r>
    </w:p>
    <w:p>
      <w:pPr>
        <w:pStyle w:val="ListParagraph"/>
        <w:numPr>
          <w:ilvl w:val="0"/>
          <w:numId w:val="19"/>
        </w:numPr>
        <w:spacing w:after="60"/>
      </w:pPr>
      <w:r>
        <w:t xml:space="preserve">Al firmar un FUID o generar una guía, registrar un </w:t>
      </w:r>
      <w:r>
        <w:rPr>
          <w:rFonts w:ascii="Consolas" w:cs="Consolas" w:eastAsia="Consolas" w:hAnsi="Consolas"/>
          <w:color w:val="93437F"/>
          <w:sz w:val="20"/>
          <w:szCs w:val="20"/>
        </w:rPr>
        <w:t xml:space="preserve">RecursoDocumental</w:t>
      </w:r>
      <w:r>
        <w:t xml:space="preserve"> de nivel unidad documental con forma documental «Inventario documental» o «Guía», autor (quien firma) y fecha.</w:t>
      </w:r>
    </w:p>
    <w:p>
      <w:pPr>
        <w:pStyle w:val="ListParagraph"/>
        <w:numPr>
          <w:ilvl w:val="0"/>
          <w:numId w:val="19"/>
        </w:numPr>
        <w:spacing w:after="60"/>
      </w:pPr>
      <w:r>
        <w:t xml:space="preserve">Relación nueva en el mapeo: </w:t>
      </w:r>
      <w:r>
        <w:rPr>
          <w:rFonts w:ascii="Consolas" w:cs="Consolas" w:eastAsia="Consolas" w:hAnsi="Consolas"/>
          <w:color w:val="93437F"/>
          <w:sz w:val="20"/>
          <w:szCs w:val="20"/>
        </w:rPr>
        <w:t xml:space="preserve">describes_or_described</w:t>
      </w:r>
      <w:r>
        <w:t xml:space="preserve"> → </w:t>
      </w:r>
      <w:r>
        <w:rPr>
          <w:rFonts w:ascii="Consolas" w:cs="Consolas" w:eastAsia="Consolas" w:hAnsi="Consolas"/>
          <w:color w:val="93437F"/>
          <w:sz w:val="20"/>
          <w:szCs w:val="20"/>
        </w:rPr>
        <w:t xml:space="preserve">rico:describesOrDescribed</w:t>
      </w:r>
      <w:r>
        <w:t xml:space="preserve"> (RecordResource → cualquier cosa), hacia cada agrupación que describe.</w:t>
      </w:r>
    </w:p>
    <w:p>
      <w:pPr>
        <w:pStyle w:val="ListParagraph"/>
        <w:numPr>
          <w:ilvl w:val="0"/>
          <w:numId w:val="19"/>
        </w:numPr>
        <w:spacing w:after="60"/>
      </w:pPr>
      <w:r>
        <w:t xml:space="preserve">Cada nueva versión del instrumento precede a la anterior (</w:t>
      </w:r>
      <w:r>
        <w:rPr>
          <w:rFonts w:ascii="Consolas" w:cs="Consolas" w:eastAsia="Consolas" w:hAnsi="Consolas"/>
          <w:color w:val="93437F"/>
          <w:sz w:val="20"/>
          <w:szCs w:val="20"/>
        </w:rPr>
        <w:t xml:space="preserve">precedes_or_preceded</w:t>
      </w:r>
      <w:r>
        <w:t xml:space="preserve">). Prueba: el grafo responde qué inventario describía un expediente en una fecha.</w:t>
      </w:r>
    </w:p>
    <w:p>
      <w:pPr>
        <w:pStyle w:val="Heading2"/>
      </w:pPr>
      <w:r>
        <w:t xml:space="preserve">N5 · Transferencias y disposición como actividades RiC</w:t>
      </w:r>
    </w:p>
    <w:p>
      <w:pPr>
        <w:pStyle w:val="ListParagraph"/>
        <w:numPr>
          <w:ilvl w:val="0"/>
          <w:numId w:val="20"/>
        </w:numPr>
        <w:spacing w:after="60"/>
      </w:pPr>
      <w:r>
        <w:t xml:space="preserve">Exportación de cada lote confirmado (</w:t>
      </w:r>
      <w:r>
        <w:rPr>
          <w:rFonts w:ascii="Consolas" w:cs="Consolas" w:eastAsia="Consolas" w:hAnsi="Consolas"/>
          <w:color w:val="93437F"/>
          <w:sz w:val="20"/>
          <w:szCs w:val="20"/>
        </w:rPr>
        <w:t xml:space="preserve">app/models/lote.py</w:t>
      </w:r>
      <w:r>
        <w:t xml:space="preserve">) como </w:t>
      </w:r>
      <w:r>
        <w:rPr>
          <w:rFonts w:ascii="Consolas" w:cs="Consolas" w:eastAsia="Consolas" w:hAnsi="Consolas"/>
          <w:color w:val="93437F"/>
          <w:sz w:val="20"/>
          <w:szCs w:val="20"/>
        </w:rPr>
        <w:t xml:space="preserve">rico:Activity</w:t>
      </w:r>
      <w:r>
        <w:t xml:space="preserve"> con tipo «Transferencia documental», fecha del acuse, </w:t>
      </w:r>
      <w:r>
        <w:rPr>
          <w:rFonts w:ascii="Consolas" w:cs="Consolas" w:eastAsia="Consolas" w:hAnsi="Consolas"/>
          <w:color w:val="93437F"/>
          <w:sz w:val="20"/>
          <w:szCs w:val="20"/>
        </w:rPr>
        <w:t xml:space="preserve">isOrWasPerformedBy</w:t>
      </w:r>
      <w:r>
        <w:t xml:space="preserve"> hacia remitente y receptor, y </w:t>
      </w:r>
      <w:r>
        <w:rPr>
          <w:rFonts w:ascii="Consolas" w:cs="Consolas" w:eastAsia="Consolas" w:hAnsi="Consolas"/>
          <w:color w:val="93437F"/>
          <w:sz w:val="20"/>
          <w:szCs w:val="20"/>
        </w:rPr>
        <w:t xml:space="preserve">affectsOrAffected</w:t>
      </w:r>
      <w:r>
        <w:t xml:space="preserve"> hacia cada documento del lote.</w:t>
      </w:r>
    </w:p>
    <w:p>
      <w:pPr>
        <w:pStyle w:val="ListParagraph"/>
        <w:numPr>
          <w:ilvl w:val="0"/>
          <w:numId w:val="20"/>
        </w:numPr>
        <w:spacing w:after="60"/>
      </w:pPr>
      <w:r>
        <w:t xml:space="preserve">El acta escaneada del lote como documento que </w:t>
      </w:r>
      <w:r>
        <w:rPr>
          <w:rFonts w:ascii="Consolas" w:cs="Consolas" w:eastAsia="Consolas" w:hAnsi="Consolas"/>
          <w:color w:val="93437F"/>
          <w:sz w:val="20"/>
          <w:szCs w:val="20"/>
        </w:rPr>
        <w:t xml:space="preserve">documents</w:t>
      </w:r>
      <w:r>
        <w:t xml:space="preserve"> (documenta) la actividad.</w:t>
      </w:r>
    </w:p>
    <w:p>
      <w:pPr>
        <w:pStyle w:val="ListParagraph"/>
        <w:numPr>
          <w:ilvl w:val="0"/>
          <w:numId w:val="20"/>
        </w:numPr>
        <w:spacing w:after="60"/>
      </w:pPr>
      <w:r>
        <w:t xml:space="preserve">La disposición final ejecutada (eliminación o conservación según la TRD) como actividad regulada por la regla de retención (</w:t>
      </w:r>
      <w:r>
        <w:rPr>
          <w:rFonts w:ascii="Consolas" w:cs="Consolas" w:eastAsia="Consolas" w:hAnsi="Consolas"/>
          <w:color w:val="93437F"/>
          <w:sz w:val="20"/>
          <w:szCs w:val="20"/>
        </w:rPr>
        <w:t xml:space="preserve">regulatesOrRegulated</w:t>
      </w:r>
      <w:r>
        <w:t xml:space="preserve">).</w:t>
      </w:r>
    </w:p>
    <w:p>
      <w:pPr>
        <w:pStyle w:val="ListParagraph"/>
        <w:numPr>
          <w:ilvl w:val="0"/>
          <w:numId w:val="20"/>
        </w:numPr>
        <w:spacing w:after="60"/>
      </w:pPr>
      <w:r>
        <w:t xml:space="preserve">Prueba: una consulta SPARQL responde «quién transfirió esta serie, cuándo y con qué acta».</w:t>
      </w:r>
    </w:p>
    <w:p>
      <w:pPr>
        <w:pStyle w:val="Heading2"/>
      </w:pPr>
      <w:r>
        <w:t xml:space="preserve">N8 · El motor de análisis consciente de RiC</w:t>
      </w:r>
    </w:p>
    <w:p>
      <w:pPr>
        <w:pStyle w:val="ListParagraph"/>
        <w:numPr>
          <w:ilvl w:val="0"/>
          <w:numId w:val="21"/>
        </w:numPr>
        <w:spacing w:after="60"/>
      </w:pPr>
      <w:r>
        <w:t xml:space="preserve">En </w:t>
      </w:r>
      <w:r>
        <w:rPr>
          <w:rFonts w:ascii="Consolas" w:cs="Consolas" w:eastAsia="Consolas" w:hAnsi="Consolas"/>
          <w:color w:val="93437F"/>
          <w:sz w:val="20"/>
          <w:szCs w:val="20"/>
        </w:rPr>
        <w:t xml:space="preserve">app/servicios/motor.py</w:t>
      </w:r>
      <w:r>
        <w:t xml:space="preserve">: agregar «autor» y «acumulador» a </w:t>
      </w:r>
      <w:r>
        <w:rPr>
          <w:rFonts w:ascii="Consolas" w:cs="Consolas" w:eastAsia="Consolas" w:hAnsi="Consolas"/>
          <w:color w:val="93437F"/>
          <w:sz w:val="20"/>
          <w:szCs w:val="20"/>
        </w:rPr>
        <w:t xml:space="preserve">ROLES_AGENTE</w:t>
      </w:r>
      <w:r>
        <w:t xml:space="preserve"> y a las instrucciones, con la regla de RiC-O (autor: solo persona, grupo o puesto).</w:t>
      </w:r>
    </w:p>
    <w:p>
      <w:pPr>
        <w:pStyle w:val="ListParagraph"/>
        <w:numPr>
          <w:ilvl w:val="0"/>
          <w:numId w:val="21"/>
        </w:numPr>
        <w:spacing w:after="60"/>
      </w:pPr>
      <w:r>
        <w:t xml:space="preserve">Subir la versión de las instrucciones y etiquetarla en Auditoría → Versiones de la instrucción.</w:t>
      </w:r>
    </w:p>
    <w:p>
      <w:pPr>
        <w:pStyle w:val="ListParagraph"/>
        <w:numPr>
          <w:ilvl w:val="0"/>
          <w:numId w:val="21"/>
        </w:numPr>
        <w:spacing w:after="60"/>
      </w:pPr>
      <w:r>
        <w:t xml:space="preserve">Correr la evaluación ciega con la nueva versión y comparar precisión y exhaustividad por rol con la anterior.</w:t>
      </w:r>
    </w:p>
    <w:p>
      <w:pPr>
        <w:pStyle w:val="Heading2"/>
      </w:pPr>
      <w:r>
        <w:t xml:space="preserve">N10 · Publicación estable</w:t>
      </w:r>
    </w:p>
    <w:p>
      <w:pPr>
        <w:pStyle w:val="ListParagraph"/>
        <w:numPr>
          <w:ilvl w:val="0"/>
          <w:numId w:val="22"/>
        </w:numPr>
        <w:spacing w:after="60"/>
      </w:pPr>
      <w:r>
        <w:t xml:space="preserve">Dominio propio y HTTPS en el servidor (Caddy ya lo gestiona si hay dominio).</w:t>
      </w:r>
    </w:p>
    <w:p>
      <w:pPr>
        <w:pStyle w:val="ListParagraph"/>
        <w:numPr>
          <w:ilvl w:val="0"/>
          <w:numId w:val="22"/>
        </w:numPr>
        <w:spacing w:after="60"/>
      </w:pPr>
      <w:r>
        <w:t xml:space="preserve">Fijar la base de URI en Instrumentos → URI públicas (el sistema exige dominio y pide confirmación para cambiarla).</w:t>
      </w:r>
    </w:p>
    <w:p>
      <w:pPr>
        <w:pStyle w:val="ListParagraph"/>
        <w:numPr>
          <w:ilvl w:val="0"/>
          <w:numId w:val="22"/>
        </w:numPr>
        <w:spacing w:after="60"/>
      </w:pPr>
      <w:r>
        <w:t xml:space="preserve">Encender los datos abiertos solo después de tener HTTPS. No cargar documentos con reserva legal antes de eso.</w:t>
      </w:r>
    </w:p>
    <w:p>
      <w:pPr>
        <w:pStyle w:val="Heading2"/>
      </w:pPr>
      <w:r>
        <w:t xml:space="preserve">N2 · Agentes de la institución (no del fondo)</w:t>
      </w:r>
    </w:p>
    <w:p>
      <w:pPr>
        <w:spacing w:after="120" w:line="276"/>
      </w:pPr>
      <w:r>
        <w:rPr>
          <w:b/>
          <w:bCs/>
        </w:rPr>
        <w:t xml:space="preserve">Migración:</w:t>
      </w:r>
    </w:p>
    <w:p>
      <w:pPr>
        <w:shd w:fill="F3F5F9" w:color="auto" w:val="clear"/>
        <w:spacing w:after="0" w:line="240"/>
      </w:pPr>
      <w:r>
        <w:rPr>
          <w:rFonts w:ascii="Consolas" w:cs="Consolas" w:eastAsia="Consolas" w:hAnsi="Consolas"/>
          <w:color w:val="1C2333"/>
          <w:sz w:val="17"/>
          <w:szCs w:val="17"/>
        </w:rPr>
        <w:t xml:space="preserve">def upgrade() -&gt; None:</w:t>
      </w:r>
    </w:p>
    <w:p>
      <w:pPr>
        <w:shd w:fill="F3F5F9" w:color="auto" w:val="clear"/>
        <w:spacing w:after="0" w:line="240"/>
      </w:pPr>
      <w:r>
        <w:rPr>
          <w:rFonts w:ascii="Consolas" w:cs="Consolas" w:eastAsia="Consolas" w:hAnsi="Consolas"/>
          <w:color w:val="1C2333"/>
          <w:sz w:val="17"/>
          <w:szCs w:val="17"/>
        </w:rPr>
        <w:t xml:space="preserve">    op.alter_column('entidades_vocabulario', 'fondo_id', nullable=True)</w:t>
      </w:r>
    </w:p>
    <w:p>
      <w:pPr>
        <w:shd w:fill="F3F5F9" w:color="auto" w:val="clear"/>
        <w:spacing w:after="0" w:line="240"/>
      </w:pPr>
      <w:r>
        <w:rPr>
          <w:rFonts w:ascii="Consolas" w:cs="Consolas" w:eastAsia="Consolas" w:hAnsi="Consolas"/>
          <w:color w:val="1C2333"/>
          <w:sz w:val="17"/>
          <w:szCs w:val="17"/>
        </w:rPr>
        <w:t xml:space="preserve">    op.add_column('entidades_vocabulario',</w:t>
      </w:r>
    </w:p>
    <w:p>
      <w:pPr>
        <w:shd w:fill="F3F5F9" w:color="auto" w:val="clear"/>
        <w:spacing w:after="0" w:line="240"/>
      </w:pPr>
      <w:r>
        <w:rPr>
          <w:rFonts w:ascii="Consolas" w:cs="Consolas" w:eastAsia="Consolas" w:hAnsi="Consolas"/>
          <w:color w:val="1C2333"/>
          <w:sz w:val="17"/>
          <w:szCs w:val="17"/>
        </w:rPr>
        <w:t xml:space="preserve">                  sa.Column('fondo_origen_id', postgresql.UUID(as_uuid=True), nullable=True))</w:t>
      </w:r>
    </w:p>
    <w:p>
      <w:pPr>
        <w:shd w:fill="F3F5F9" w:color="auto" w:val="clear"/>
        <w:spacing w:after="0" w:line="240"/>
      </w:pPr>
      <w:r>
        <w:rPr>
          <w:rFonts w:ascii="Consolas" w:cs="Consolas" w:eastAsia="Consolas" w:hAnsi="Consolas"/>
          <w:color w:val="1C2333"/>
          <w:sz w:val="17"/>
          <w:szCs w:val="17"/>
        </w:rPr>
        <w:t xml:space="preserve">    op.execute('UPDATE entidades_vocabulario SET fondo_origen_id = fondo_id')</w:t>
      </w:r>
    </w:p>
    <w:p>
      <w:pPr>
        <w:pStyle w:val="ListParagraph"/>
        <w:numPr>
          <w:ilvl w:val="0"/>
          <w:numId w:val="23"/>
        </w:numPr>
        <w:spacing w:after="60"/>
      </w:pPr>
      <w:r>
        <w:t xml:space="preserve">Cambiar las consultas que filtran </w:t>
      </w:r>
      <w:r>
        <w:rPr>
          <w:rFonts w:ascii="Consolas" w:cs="Consolas" w:eastAsia="Consolas" w:hAnsi="Consolas"/>
          <w:color w:val="93437F"/>
          <w:sz w:val="20"/>
          <w:szCs w:val="20"/>
        </w:rPr>
        <w:t xml:space="preserve">EntidadVocabulario.fondo_id == fondo_id</w:t>
      </w:r>
      <w:r>
        <w:t xml:space="preserve"> por «citada por un documento del fondo» (las de vocabulario, exportación y grafo).</w:t>
      </w:r>
    </w:p>
    <w:p>
      <w:pPr>
        <w:pStyle w:val="ListParagraph"/>
        <w:numPr>
          <w:ilvl w:val="0"/>
          <w:numId w:val="23"/>
        </w:numPr>
        <w:spacing w:after="60"/>
      </w:pPr>
      <w:r>
        <w:t xml:space="preserve">Tarea de fusión entre fondos: la detección de duplicados existente, sin el filtro de fondo, con aprobación humana de cada par.</w:t>
      </w:r>
    </w:p>
    <w:p>
      <w:pPr>
        <w:pStyle w:val="ListParagraph"/>
        <w:numPr>
          <w:ilvl w:val="0"/>
          <w:numId w:val="23"/>
        </w:numPr>
        <w:spacing w:after="60"/>
      </w:pPr>
      <w:r>
        <w:t xml:space="preserve">Verificar que la regla de la Ley 1712 (</w:t>
      </w:r>
      <w:r>
        <w:rPr>
          <w:rFonts w:ascii="Consolas" w:cs="Consolas" w:eastAsia="Consolas" w:hAnsi="Consolas"/>
          <w:color w:val="93437F"/>
          <w:sz w:val="20"/>
          <w:szCs w:val="20"/>
        </w:rPr>
        <w:t xml:space="preserve">_entidades_vedadas</w:t>
      </w:r>
      <w:r>
        <w:t xml:space="preserve">) siga ocultando un agente que solo cite lo reservado de cualquier fondo.</w:t>
      </w:r>
    </w:p>
    <w:p>
      <w:pPr>
        <w:pStyle w:val="ListParagraph"/>
        <w:numPr>
          <w:ilvl w:val="0"/>
          <w:numId w:val="23"/>
        </w:numPr>
        <w:spacing w:after="60"/>
      </w:pPr>
      <w:r>
        <w:t xml:space="preserve">Prueba: el mismo agente citado desde dos fondos tiene una sola URI.</w:t>
      </w:r>
    </w:p>
    <w:p>
      <w:pPr>
        <w:pStyle w:val="Heading2"/>
      </w:pPr>
      <w:r>
        <w:t xml:space="preserve">N3 · Grafo persistente con Oxigraph</w:t>
      </w:r>
    </w:p>
    <w:p>
      <w:pPr>
        <w:spacing w:after="120" w:line="276"/>
      </w:pPr>
      <w:r>
        <w:rPr>
          <w:b/>
          <w:bCs/>
        </w:rPr>
        <w:t xml:space="preserve">Servicio nuevo en docker-compose.yml (gratuito; verificar la versión al instalar):</w:t>
      </w:r>
    </w:p>
    <w:p>
      <w:pPr>
        <w:shd w:fill="F3F5F9" w:color="auto" w:val="clear"/>
        <w:spacing w:after="0" w:line="240"/>
      </w:pPr>
      <w:r>
        <w:rPr>
          <w:rFonts w:ascii="Consolas" w:cs="Consolas" w:eastAsia="Consolas" w:hAnsi="Consolas"/>
          <w:color w:val="1C2333"/>
          <w:sz w:val="17"/>
          <w:szCs w:val="17"/>
        </w:rPr>
        <w:t xml:space="preserve">  grafo:</w:t>
      </w:r>
    </w:p>
    <w:p>
      <w:pPr>
        <w:shd w:fill="F3F5F9" w:color="auto" w:val="clear"/>
        <w:spacing w:after="0" w:line="240"/>
      </w:pPr>
      <w:r>
        <w:rPr>
          <w:rFonts w:ascii="Consolas" w:cs="Consolas" w:eastAsia="Consolas" w:hAnsi="Consolas"/>
          <w:color w:val="1C2333"/>
          <w:sz w:val="17"/>
          <w:szCs w:val="17"/>
        </w:rPr>
        <w:t xml:space="preserve">    image: ghcr.io/oxigraph/oxigraph:latest</w:t>
      </w:r>
    </w:p>
    <w:p>
      <w:pPr>
        <w:shd w:fill="F3F5F9" w:color="auto" w:val="clear"/>
        <w:spacing w:after="0" w:line="240"/>
      </w:pPr>
      <w:r>
        <w:rPr>
          <w:rFonts w:ascii="Consolas" w:cs="Consolas" w:eastAsia="Consolas" w:hAnsi="Consolas"/>
          <w:color w:val="1C2333"/>
          <w:sz w:val="17"/>
          <w:szCs w:val="17"/>
        </w:rPr>
        <w:t xml:space="preserve">    command: serve --location /data --bind 0.0.0.0:7878</w:t>
      </w:r>
    </w:p>
    <w:p>
      <w:pPr>
        <w:shd w:fill="F3F5F9" w:color="auto" w:val="clear"/>
        <w:spacing w:after="0" w:line="240"/>
      </w:pPr>
      <w:r>
        <w:rPr>
          <w:rFonts w:ascii="Consolas" w:cs="Consolas" w:eastAsia="Consolas" w:hAnsi="Consolas"/>
          <w:color w:val="1C2333"/>
          <w:sz w:val="17"/>
          <w:szCs w:val="17"/>
        </w:rPr>
        <w:t xml:space="preserve">    volumes: ["grafo:/data"]</w:t>
      </w:r>
    </w:p>
    <w:p>
      <w:pPr>
        <w:shd w:fill="F3F5F9" w:color="auto" w:val="clear"/>
        <w:spacing w:after="0" w:line="240"/>
      </w:pPr>
      <w:r>
        <w:rPr>
          <w:rFonts w:ascii="Consolas" w:cs="Consolas" w:eastAsia="Consolas" w:hAnsi="Consolas"/>
          <w:color w:val="1C2333"/>
          <w:sz w:val="17"/>
          <w:szCs w:val="17"/>
        </w:rPr>
        <w:t xml:space="preserve">    restart: unless-stopped</w:t>
      </w:r>
    </w:p>
    <w:p>
      <w:pPr>
        <w:spacing w:after="120" w:line="276"/>
      </w:pPr>
      <w:r>
        <w:rPr>
          <w:b/>
          <w:bCs/>
        </w:rPr>
        <w:t xml:space="preserve">Bandeja de cambios (misma transacción que la publicación):</w:t>
      </w:r>
    </w:p>
    <w:p>
      <w:pPr>
        <w:shd w:fill="F3F5F9" w:color="auto" w:val="clear"/>
        <w:spacing w:after="0" w:line="240"/>
      </w:pPr>
      <w:r>
        <w:rPr>
          <w:rFonts w:ascii="Consolas" w:cs="Consolas" w:eastAsia="Consolas" w:hAnsi="Consolas"/>
          <w:color w:val="1C2333"/>
          <w:sz w:val="17"/>
          <w:szCs w:val="17"/>
        </w:rPr>
        <w:t xml:space="preserve">CREATE TABLE cambios_grafo (</w:t>
      </w:r>
    </w:p>
    <w:p>
      <w:pPr>
        <w:shd w:fill="F3F5F9" w:color="auto" w:val="clear"/>
        <w:spacing w:after="0" w:line="240"/>
      </w:pPr>
      <w:r>
        <w:rPr>
          <w:rFonts w:ascii="Consolas" w:cs="Consolas" w:eastAsia="Consolas" w:hAnsi="Consolas"/>
          <w:color w:val="1C2333"/>
          <w:sz w:val="17"/>
          <w:szCs w:val="17"/>
        </w:rPr>
        <w:t xml:space="preserve">    id BIGSERIAL PRIMARY KEY,</w:t>
      </w:r>
    </w:p>
    <w:p>
      <w:pPr>
        <w:shd w:fill="F3F5F9" w:color="auto" w:val="clear"/>
        <w:spacing w:after="0" w:line="240"/>
      </w:pPr>
      <w:r>
        <w:rPr>
          <w:rFonts w:ascii="Consolas" w:cs="Consolas" w:eastAsia="Consolas" w:hAnsi="Consolas"/>
          <w:color w:val="1C2333"/>
          <w:sz w:val="17"/>
          <w:szCs w:val="17"/>
        </w:rPr>
        <w:t xml:space="preserve">    fondo_id UUID NOT NULL,</w:t>
      </w:r>
    </w:p>
    <w:p>
      <w:pPr>
        <w:shd w:fill="F3F5F9" w:color="auto" w:val="clear"/>
        <w:spacing w:after="0" w:line="240"/>
      </w:pPr>
      <w:r>
        <w:rPr>
          <w:rFonts w:ascii="Consolas" w:cs="Consolas" w:eastAsia="Consolas" w:hAnsi="Consolas"/>
          <w:color w:val="1C2333"/>
          <w:sz w:val="17"/>
          <w:szCs w:val="17"/>
        </w:rPr>
        <w:t xml:space="preserve">    nodo_id UUID NOT NULL,</w:t>
      </w:r>
    </w:p>
    <w:p>
      <w:pPr>
        <w:shd w:fill="F3F5F9" w:color="auto" w:val="clear"/>
        <w:spacing w:after="0" w:line="240"/>
      </w:pPr>
      <w:r>
        <w:rPr>
          <w:rFonts w:ascii="Consolas" w:cs="Consolas" w:eastAsia="Consolas" w:hAnsi="Consolas"/>
          <w:color w:val="1C2333"/>
          <w:sz w:val="17"/>
          <w:szCs w:val="17"/>
        </w:rPr>
        <w:t xml:space="preserve">    creado_en TIMESTAMPTZ NOT NULL DEFAULT now(),</w:t>
      </w:r>
    </w:p>
    <w:p>
      <w:pPr>
        <w:shd w:fill="F3F5F9" w:color="auto" w:val="clear"/>
        <w:spacing w:after="0" w:line="240"/>
      </w:pPr>
      <w:r>
        <w:rPr>
          <w:rFonts w:ascii="Consolas" w:cs="Consolas" w:eastAsia="Consolas" w:hAnsi="Consolas"/>
          <w:color w:val="1C2333"/>
          <w:sz w:val="17"/>
          <w:szCs w:val="17"/>
        </w:rPr>
        <w:t xml:space="preserve">    aplicado_en TIMESTAMPTZ</w:t>
      </w:r>
    </w:p>
    <w:p>
      <w:pPr>
        <w:shd w:fill="F3F5F9" w:color="auto" w:val="clear"/>
        <w:spacing w:after="0" w:line="240"/>
      </w:pPr>
      <w:r>
        <w:rPr>
          <w:rFonts w:ascii="Consolas" w:cs="Consolas" w:eastAsia="Consolas" w:hAnsi="Consolas"/>
          <w:color w:val="1C2333"/>
          <w:sz w:val="17"/>
          <w:szCs w:val="17"/>
        </w:rPr>
        <w:t xml:space="preserve">);</w:t>
      </w:r>
    </w:p>
    <w:p>
      <w:pPr>
        <w:pStyle w:val="ListParagraph"/>
        <w:numPr>
          <w:ilvl w:val="0"/>
          <w:numId w:val="24"/>
        </w:numPr>
        <w:spacing w:after="60"/>
      </w:pPr>
      <w:r>
        <w:t xml:space="preserve">El trabajador lee las filas sin aplicar, recalcula la descripción del nodo con </w:t>
      </w:r>
      <w:r>
        <w:rPr>
          <w:rFonts w:ascii="Consolas" w:cs="Consolas" w:eastAsia="Consolas" w:hAnsi="Consolas"/>
          <w:color w:val="93437F"/>
          <w:sz w:val="20"/>
          <w:szCs w:val="20"/>
        </w:rPr>
        <w:t xml:space="preserve">exportacion_rico.descripcion_de()</w:t>
      </w:r>
      <w:r>
        <w:t xml:space="preserve"> y la reemplaza en el grafo con nombre del fondo (SPARQL Update).</w:t>
      </w:r>
    </w:p>
    <w:p>
      <w:pPr>
        <w:pStyle w:val="ListParagraph"/>
        <w:numPr>
          <w:ilvl w:val="0"/>
          <w:numId w:val="24"/>
        </w:numPr>
        <w:spacing w:after="60"/>
      </w:pPr>
      <w:r>
        <w:t xml:space="preserve">Cada noche, reconstrucción completa y comparación; alerta si difieren.</w:t>
      </w:r>
    </w:p>
    <w:p>
      <w:pPr>
        <w:pStyle w:val="ListParagraph"/>
        <w:numPr>
          <w:ilvl w:val="0"/>
          <w:numId w:val="24"/>
        </w:numPr>
        <w:spacing w:after="60"/>
      </w:pPr>
      <w:r>
        <w:t xml:space="preserve">El punto SPARQL público pasa a consultar Oxigraph, conservando el filtro de lo público.</w:t>
      </w:r>
    </w:p>
    <w:p>
      <w:pPr>
        <w:pStyle w:val="Heading2"/>
      </w:pPr>
      <w:r>
        <w:t xml:space="preserve">N1 · Importación</w:t>
      </w:r>
    </w:p>
    <w:p>
      <w:pPr>
        <w:shd w:fill="F3F5F9" w:color="auto" w:val="clear"/>
        <w:spacing w:after="0" w:line="240"/>
      </w:pPr>
      <w:r>
        <w:rPr>
          <w:rFonts w:ascii="Consolas" w:cs="Consolas" w:eastAsia="Consolas" w:hAnsi="Consolas"/>
          <w:color w:val="1C2333"/>
          <w:sz w:val="17"/>
          <w:szCs w:val="17"/>
        </w:rPr>
        <w:t xml:space="preserve">def importar(archivo, fondo, usuario):</w:t>
      </w:r>
    </w:p>
    <w:p>
      <w:pPr>
        <w:shd w:fill="F3F5F9" w:color="auto" w:val="clear"/>
        <w:spacing w:after="0" w:line="240"/>
      </w:pPr>
      <w:r>
        <w:rPr>
          <w:rFonts w:ascii="Consolas" w:cs="Consolas" w:eastAsia="Consolas" w:hAnsi="Consolas"/>
          <w:color w:val="1C2333"/>
          <w:sz w:val="17"/>
          <w:szCs w:val="17"/>
        </w:rPr>
        <w:t xml:space="preserve">    g = Graph().parse(archivo)                       # Turtle o JSON-LD</w:t>
      </w:r>
    </w:p>
    <w:p>
      <w:pPr>
        <w:shd w:fill="F3F5F9" w:color="auto" w:val="clear"/>
        <w:spacing w:after="0" w:line="240"/>
      </w:pPr>
      <w:r>
        <w:rPr>
          <w:rFonts w:ascii="Consolas" w:cs="Consolas" w:eastAsia="Consolas" w:hAnsi="Consolas"/>
          <w:color w:val="1C2333"/>
          <w:sz w:val="17"/>
          <w:szCs w:val="17"/>
        </w:rPr>
        <w:t xml:space="preserve">    if conformidad_rico.verificar_owl(g) or not conformidad_rico.validar_shacl(g)['conforme']:</w:t>
      </w:r>
    </w:p>
    <w:p>
      <w:pPr>
        <w:shd w:fill="F3F5F9" w:color="auto" w:val="clear"/>
        <w:spacing w:after="0" w:line="240"/>
      </w:pPr>
      <w:r>
        <w:rPr>
          <w:rFonts w:ascii="Consolas" w:cs="Consolas" w:eastAsia="Consolas" w:hAnsi="Consolas"/>
          <w:color w:val="1C2333"/>
          <w:sz w:val="17"/>
          <w:szCs w:val="17"/>
        </w:rPr>
        <w:t xml:space="preserve">        raise ErrorImportacion('No es RiC-O conforme: ver informe.')</w:t>
      </w:r>
    </w:p>
    <w:p>
      <w:pPr>
        <w:shd w:fill="F3F5F9" w:color="auto" w:val="clear"/>
        <w:spacing w:after="0" w:line="240"/>
      </w:pPr>
      <w:r>
        <w:rPr>
          <w:rFonts w:ascii="Consolas" w:cs="Consolas" w:eastAsia="Consolas" w:hAnsi="Consolas"/>
          <w:color w:val="1C2333"/>
          <w:sz w:val="17"/>
          <w:szCs w:val="17"/>
        </w:rPr>
        <w:t xml:space="preserve">    propuesta = mapeo_inverso(g)                     # ric_o.py leído al revés</w:t>
      </w:r>
    </w:p>
    <w:p>
      <w:pPr>
        <w:shd w:fill="F3F5F9" w:color="auto" w:val="clear"/>
        <w:spacing w:after="0" w:line="240"/>
      </w:pPr>
      <w:r>
        <w:rPr>
          <w:rFonts w:ascii="Consolas" w:cs="Consolas" w:eastAsia="Consolas" w:hAnsi="Consolas"/>
          <w:color w:val="1C2333"/>
          <w:sz w:val="17"/>
          <w:szCs w:val="17"/>
        </w:rPr>
        <w:t xml:space="preserve">    propuesta = conciliar(propuesta, fondo)          # identificador externo, sameAs, nombre</w:t>
      </w:r>
    </w:p>
    <w:p>
      <w:pPr>
        <w:shd w:fill="F3F5F9" w:color="auto" w:val="clear"/>
        <w:spacing w:after="0" w:line="240"/>
      </w:pPr>
      <w:r>
        <w:rPr>
          <w:rFonts w:ascii="Consolas" w:cs="Consolas" w:eastAsia="Consolas" w:hAnsi="Consolas"/>
          <w:color w:val="1C2333"/>
          <w:sz w:val="17"/>
          <w:szCs w:val="17"/>
        </w:rPr>
        <w:t xml:space="preserve">    return guardar_en_espera(propuesta, usuario)     # una persona revisa y aprueba</w:t>
      </w:r>
    </w:p>
    <w:p>
      <w:pPr>
        <w:pStyle w:val="ListParagraph"/>
        <w:numPr>
          <w:ilvl w:val="0"/>
          <w:numId w:val="25"/>
        </w:numPr>
        <w:spacing w:after="60"/>
      </w:pPr>
      <w:r>
        <w:t xml:space="preserve">Pantalla de revisión: qué se crea, qué se reutiliza y qué se descarta, con aprobación por bloque.</w:t>
      </w:r>
    </w:p>
    <w:p>
      <w:pPr>
        <w:pStyle w:val="ListParagraph"/>
        <w:numPr>
          <w:ilvl w:val="0"/>
          <w:numId w:val="25"/>
        </w:numPr>
        <w:spacing w:after="60"/>
      </w:pPr>
      <w:r>
        <w:t xml:space="preserve">Al aprobar, escribir con origen «importado» y la fuente en la auditoría.</w:t>
      </w:r>
    </w:p>
    <w:p>
      <w:pPr>
        <w:pStyle w:val="ListParagraph"/>
        <w:numPr>
          <w:ilvl w:val="0"/>
          <w:numId w:val="25"/>
        </w:numPr>
        <w:spacing w:after="60"/>
      </w:pPr>
      <w:r>
        <w:t xml:space="preserve">Prueba de ida y vuelta: exportar → importar en una base vacía → exportar da un grafo isomorfo.</w:t>
      </w:r>
    </w:p>
    <w:p>
      <w:pPr>
        <w:pStyle w:val="Heading1"/>
      </w:pPr>
      <w:r>
        <w:t xml:space="preserve">G5. Lista de verificación de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w:t>
            </w:r>
          </w:p>
        </w:tc>
        <w:tc>
          <w:tcPr>
            <w:tcW w:type="dxa" w:w="22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Faltante</w:t>
            </w:r>
          </w:p>
        </w:tc>
        <w:tc>
          <w:tcPr>
            <w:tcW w:type="dxa" w:w="66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Se cumple cuando…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A12, A20, A30, A15</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Cada tipo sale como su clase RiC-O y una persona no puede recibir el tipo de una institución.</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A18, A07, A37</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Salen solos, sin formulario, en toda exportación que los tenga.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A10, A39, A24</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Se capturan al describir y salen en la descripción del documento.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A33, A04</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Salen en la instanciación del original físico, con cantidad y unidad.</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A27</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Sale en el Lugar, nunca en el documento.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N9 Calendario</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Ninguna fecha omitida por su calendario.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N7 Proxy</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 documento tiene un orden propio en cada agrupación.</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N6 Instrumentos</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grafo responde qué instrumento describía un expediente en una fecha.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N5 Ciclo de vida</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grafo responde quién transfirió una serie, cuándo y con qué acta.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N8 Motor</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evaluación ciega mide autor y acumulador.</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N10 Publicación</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Las URI siguen resolviendo tras un cambio de servidor.</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N2 Agentes</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 agente en dos fondos tiene una sola URI y no revela lo reservado.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N3 Grafo</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SPARQL entre fondos en menos de 2 s, sin lo reservado.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N1 Importación</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Ida y vuelta isomorfa.</w:t>
            </w:r>
          </w:p>
        </w:tc>
      </w:tr>
    </w:tbl>
    <w:p>
      <w:pPr>
        <w:pStyle w:val="Heading1"/>
      </w:pPr>
      <w:r>
        <w:t xml:space="preserve">G6. Cómo comprobar el cumplimiento después de cada cambio</w:t>
      </w:r>
    </w:p>
    <w:p>
      <w:pPr>
        <w:pStyle w:val="ListParagraph"/>
        <w:numPr>
          <w:ilvl w:val="0"/>
          <w:numId w:val="26"/>
        </w:numPr>
        <w:spacing w:after="60"/>
      </w:pPr>
      <w:r>
        <w:rPr>
          <w:b/>
          <w:bCs/>
        </w:rPr>
        <w:t xml:space="preserve">El mapeo contra el OWL: </w:t>
      </w:r>
      <w:r>
        <w:rPr>
          <w:rFonts w:ascii="Consolas" w:cs="Consolas" w:eastAsia="Consolas" w:hAnsi="Consolas"/>
          <w:color w:val="93437F"/>
          <w:sz w:val="20"/>
          <w:szCs w:val="20"/>
        </w:rPr>
        <w:t xml:space="preserve">pytest tests/test_ric_o.py</w:t>
      </w:r>
      <w:r>
        <w:t xml:space="preserve"> (ningún nombre inventado, dominios y rangos correctos).</w:t>
      </w:r>
    </w:p>
    <w:p>
      <w:pPr>
        <w:pStyle w:val="ListParagraph"/>
        <w:numPr>
          <w:ilvl w:val="0"/>
          <w:numId w:val="26"/>
        </w:numPr>
        <w:spacing w:after="60"/>
      </w:pPr>
      <w:r>
        <w:rPr>
          <w:b/>
          <w:bCs/>
        </w:rPr>
        <w:t xml:space="preserve">La exportación contra el OWL y el perfil SHACL: </w:t>
      </w:r>
      <w:r>
        <w:rPr>
          <w:rFonts w:ascii="Consolas" w:cs="Consolas" w:eastAsia="Consolas" w:hAnsi="Consolas"/>
          <w:color w:val="93437F"/>
          <w:sz w:val="20"/>
          <w:szCs w:val="20"/>
        </w:rPr>
        <w:t xml:space="preserve">pytest tests/test_exportacion_rico.py tests/test_especializacion_ric.py</w:t>
      </w:r>
      <w:r>
        <w:t xml:space="preserve">.</w:t>
      </w:r>
    </w:p>
    <w:p>
      <w:pPr>
        <w:pStyle w:val="ListParagraph"/>
        <w:numPr>
          <w:ilvl w:val="0"/>
          <w:numId w:val="26"/>
        </w:numPr>
        <w:spacing w:after="60"/>
      </w:pPr>
      <w:r>
        <w:rPr>
          <w:b/>
          <w:bCs/>
        </w:rPr>
        <w:t xml:space="preserve">Toda la batería: </w:t>
      </w:r>
      <w:r>
        <w:rPr>
          <w:rFonts w:ascii="Consolas" w:cs="Consolas" w:eastAsia="Consolas" w:hAnsi="Consolas"/>
          <w:color w:val="93437F"/>
          <w:sz w:val="20"/>
          <w:szCs w:val="20"/>
        </w:rPr>
        <w:t xml:space="preserve">pytest</w:t>
      </w:r>
      <w:r>
        <w:t xml:space="preserve"> (más de 480 pruebas). Nada se sube si una falla.</w:t>
      </w:r>
    </w:p>
    <w:p>
      <w:pPr>
        <w:pStyle w:val="ListParagraph"/>
        <w:numPr>
          <w:ilvl w:val="0"/>
          <w:numId w:val="26"/>
        </w:numPr>
        <w:spacing w:after="60"/>
      </w:pPr>
      <w:r>
        <w:rPr>
          <w:b/>
          <w:bCs/>
        </w:rPr>
        <w:t xml:space="preserve">El informe de conformidad en la aplicación: </w:t>
      </w:r>
      <w:r>
        <w:t xml:space="preserve">Instrumentos → Exportar RiC-O → «Conforme», sin problemas OWL ni SHACL.</w:t>
      </w:r>
    </w:p>
    <w:p>
      <w:pPr>
        <w:pStyle w:val="ListParagraph"/>
        <w:numPr>
          <w:ilvl w:val="0"/>
          <w:numId w:val="26"/>
        </w:numPr>
        <w:spacing w:after="60"/>
      </w:pPr>
      <w:r>
        <w:rPr>
          <w:b/>
          <w:bCs/>
        </w:rPr>
        <w:t xml:space="preserve">La cobertura: </w:t>
      </w:r>
      <w:r>
        <w:t xml:space="preserve">repetir la medición del anexo y comparar con la tabla E3. La meta de la fase 1 es 42 de 42 atributos.</w:t>
      </w:r>
    </w:p>
    <w:p>
      <w:r>
        <w:br w:type="page"/>
      </w:r>
    </w:p>
    <w:p>
      <w:pPr>
        <w:spacing w:after="120" w:before="600"/>
      </w:pPr>
      <w:r>
        <w:rPr>
          <w:b/>
          <w:bCs/>
          <w:color w:val="2F5FD0"/>
          <w:sz w:val="40"/>
          <w:szCs w:val="40"/>
        </w:rPr>
        <w:t xml:space="preserve">Parte H · Documentos e instrumentos que necesito</w:t>
      </w:r>
    </w:p>
    <w:p>
      <w:pPr>
        <w:spacing w:after="400"/>
      </w:pPr>
      <w:r>
        <w:rPr>
          <w:color w:val="5B6477"/>
          <w:sz w:val="24"/>
          <w:szCs w:val="24"/>
        </w:rPr>
        <w:t xml:space="preserve">Qué pedirle a la entidad piloto, para qué sirve cada uno y en qué se convierte dentro de RICORA</w:t>
      </w:r>
    </w:p>
    <w:p>
      <w:pPr>
        <w:spacing w:after="120" w:line="276"/>
      </w:pPr>
      <w:r>
        <w:t xml:space="preserve">Los instrumentos archivísticos del artículo 2.8.2.5.8 del Decreto 1080 de 2015 son la materia prima de un sistema nativo RiC: cada uno se convierte en entidades y relaciones. Sin ellos, el sistema funciona, pero el contexto lo tiene que reconstruir la archivista a mano, documento por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350"/>
        <w:gridCol w:w="2500"/>
        <w:gridCol w:w="2660"/>
        <w:gridCol w:w="1400"/>
      </w:tblGrid>
      <w:tr>
        <w:trPr>
          <w:tblHeader/>
        </w:trPr>
        <w:tc>
          <w:tcPr>
            <w:tcW w:type="dxa" w:w="45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w:t>
            </w:r>
          </w:p>
        </w:tc>
        <w:tc>
          <w:tcPr>
            <w:tcW w:type="dxa" w:w="235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Documento</w:t>
            </w:r>
          </w:p>
        </w:tc>
        <w:tc>
          <w:tcPr>
            <w:tcW w:type="dxa" w:w="25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Para qué en RICORA</w:t>
            </w:r>
          </w:p>
        </w:tc>
        <w:tc>
          <w:tcPr>
            <w:tcW w:type="dxa" w:w="26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En qué se convierte en RiC</w:t>
            </w:r>
          </w:p>
        </w:tc>
        <w:tc>
          <w:tcPr>
            <w:tcW w:type="dxa" w:w="14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Esquema de metadatos RiC del AGN</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Comparar campo por campo y declarar la conformidad nacional</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Mapeo y ajustes del perfil SHACL</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Alta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2</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Cuadro de Clasificación Documental (CCD)</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Crear la estructura de fondo, secciones, series y subseries con sus códigos</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Agrupaciones documentales (E03) con su tipo; atributo Clasificación (A07)</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Alta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3</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Tabla de Retención Documental (TRD) y, si aplica, TVD</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Retención, disposición final y alertas; base de la IA que propone la serie</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Reglas (E16); la disposición como Actividad (E15)</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Alta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Banco terminológico de series, subseries y tipos documentales</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Vocabulario controlado para describir y para la IA</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Tipos de forma documental (A17) y de actividad en SKOS</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Alta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5</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Tablas de Control de Acceso, índice de información clasificada y reservada, registro de activos de información</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Clasificación de acceso por serie (Ley 1712)</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Declaraciones de acceso heredables; condiciones de acceso (A08)</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Alta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6</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Estructura orgánica histórica: actos de creación, reforma y supresión; organigramas por periodo</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Contexto institucional de los productores</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Instituciones (E11), Puestos (E12), Normas (E17), Eventos (E14), subordinación y sucesión</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Alta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7</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Inventarios documentales (FUID) existentes</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Carga masiva de lo ya descrito, con folios y ubicación</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Recursos documentales con su extensión (A35) e instanciaciones</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Media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8</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Manual de funciones o mapa de procesos</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Funciones y su relación con las series</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Actividades y tipos de actividad (E15)</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Media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9</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Sistema Integrado de Conservación: Plan de Conservación Documental y Plan de Preservación Digital a Largo Plazo</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Formatos aceptados, frecuencias, estrategias y responsables de la preservación</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Reglas de preservación; eventos PREMIS planeados</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Alta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10</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Programa de Gestión Documental (PGD) y PINAR</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Prioridades y requisitos institucionales; justificación en la tesis</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Media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11</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Modelo de requisitos SGDEA y esquema de metadatos institucional</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Definir qué cubre RICORA y cómo se integra con el SGDEA</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Mapeo de metadatos</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Media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12</w:t>
            </w:r>
          </w:p>
        </w:tc>
        <w:tc>
          <w:tcPr>
            <w:tcW w:type="dxa" w:w="23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Muestra documental representativa</w:t>
            </w:r>
          </w:p>
        </w:tc>
        <w:tc>
          <w:tcPr>
            <w:tcW w:type="dxa" w:w="2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Probar OCR, HTR, motor y evaluación ciega con documentos reales: impresos, manuscritos y nacidos digitales</w:t>
            </w:r>
          </w:p>
        </w:tc>
        <w:tc>
          <w:tcPr>
            <w:tcW w:type="dxa" w:w="2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Documentos e instanciaciones de prueba</w:t>
            </w:r>
          </w:p>
        </w:tc>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Alta</w:t>
            </w:r>
          </w:p>
        </w:tc>
      </w:tr>
    </w:tbl>
    <w:p>
      <w:pPr>
        <w:pStyle w:val="Heading3"/>
      </w:pPr>
      <w:r>
        <w:t xml:space="preserve">Cómo entregarlos</w:t>
      </w:r>
    </w:p>
    <w:p>
      <w:pPr>
        <w:pStyle w:val="ListParagraph"/>
        <w:numPr>
          <w:ilvl w:val="0"/>
          <w:numId w:val="2"/>
        </w:numPr>
        <w:spacing w:after="60"/>
      </w:pPr>
      <w:r>
        <w:t xml:space="preserve">Preferiblemente en el formato original editable (hoja de cálculo para CCD, TRD, banco terminológico, inventarios y tablas de acceso), porque se pueden cargar de forma automática; un PDF obliga a transcribir.</w:t>
      </w:r>
    </w:p>
    <w:p>
      <w:pPr>
        <w:pStyle w:val="ListParagraph"/>
        <w:numPr>
          <w:ilvl w:val="0"/>
          <w:numId w:val="2"/>
        </w:numPr>
        <w:spacing w:after="60"/>
      </w:pPr>
      <w:r>
        <w:t xml:space="preserve">Sin información clasificada ni reservada en la muestra documental, y sin datos personales innecesarios, mientras el servidor no tenga HTTPS.</w:t>
      </w:r>
    </w:p>
    <w:p>
      <w:pPr>
        <w:pStyle w:val="ListParagraph"/>
        <w:numPr>
          <w:ilvl w:val="0"/>
          <w:numId w:val="2"/>
        </w:numPr>
        <w:spacing w:after="60"/>
      </w:pPr>
      <w:r>
        <w:t xml:space="preserve">Con la versión y la fecha de aprobación de cada instrumento: RiC los registra como reglas con vigencia.</w:t>
      </w:r>
    </w:p>
    <w:p>
      <w:pPr>
        <w:pStyle w:val="Heading1"/>
      </w:pPr>
      <w:r>
        <w:t xml:space="preserve">Anexo · Método de medición</w:t>
      </w:r>
    </w:p>
    <w:p>
      <w:pPr>
        <w:spacing w:after="120" w:line="276"/>
      </w:pPr>
      <w:r>
        <w:t xml:space="preserve">Un complemento de la batería de pruebas intercepta cada exportación RiC-O y registra las clases (rdf:type) y las propiedades del espacio rico: que aparecen. Se comparan con las clases y propiedades declaradas en RiC-O_1-1.rdf. La correspondencia entre atributos de RiC-CM y propiedades se toma de la anotación rico:RiCCMCorrespondingComponent del mismo archivo, no de la memoria de quien escribe. La medición se repite cuando se quiera con la batería completa.</w:t>
      </w:r>
    </w:p>
    <w:p>
      <w:pPr>
        <w:pStyle w:val="Heading1"/>
      </w:pPr>
      <w:r>
        <w:t xml:space="preserve">Fuentes consultadas</w:t>
      </w:r>
    </w:p>
    <w:p>
      <w:pPr>
        <w:spacing w:after="120" w:line="276"/>
      </w:pPr>
      <w:r>
        <w:rPr>
          <w:i/>
          <w:iCs/>
        </w:rPr>
        <w:t xml:space="preserve">Consultadas el 3 de octubre de 2026. Las afirmaciones sobre terceros se limitan a lo que dicen estas fuentes.</w:t>
      </w:r>
    </w:p>
    <w:p>
      <w:pPr>
        <w:pStyle w:val="ListParagraph"/>
        <w:numPr>
          <w:ilvl w:val="0"/>
          <w:numId w:val="2"/>
        </w:numPr>
        <w:spacing w:after="60"/>
      </w:pPr>
      <w:r>
        <w:t xml:space="preserve">Archivo oficial de la ontología RiC-O 1.1 (ICA-EGAD), incluido en RICORA: app/recursos/ric-o/RiC-O_1-1.rdf</w:t>
      </w:r>
    </w:p>
    <w:p>
      <w:pPr>
        <w:pStyle w:val="ListParagraph"/>
        <w:numPr>
          <w:ilvl w:val="0"/>
          <w:numId w:val="2"/>
        </w:numPr>
        <w:spacing w:after="60"/>
      </w:pPr>
      <w:r>
        <w:t xml:space="preserve">ICA · Records in Contexts (RiC): https://www.ica.org/ica-network/expert-groups/egad/records-in-contexts-ric/</w:t>
      </w:r>
    </w:p>
    <w:p>
      <w:pPr>
        <w:pStyle w:val="ListParagraph"/>
        <w:numPr>
          <w:ilvl w:val="0"/>
          <w:numId w:val="2"/>
        </w:numPr>
        <w:spacing w:after="60"/>
      </w:pPr>
      <w:r>
        <w:t xml:space="preserve">ICA · Publicación de Records in Contexts 1.0 (RiC-FAD, RiC-CM, RiC-O): https://www.ica.org/es/release-of-the-first-three-parts-of-the-records-in-contexts-archival-description-standard-version-1-0-ric-fad-ric-cm-and-ric-o/</w:t>
      </w:r>
    </w:p>
    <w:p>
      <w:pPr>
        <w:pStyle w:val="ListParagraph"/>
        <w:numPr>
          <w:ilvl w:val="0"/>
          <w:numId w:val="2"/>
        </w:numPr>
        <w:spacing w:after="60"/>
      </w:pPr>
      <w:r>
        <w:t xml:space="preserve">ICA · RiC Application Guidelines: https://www.ica.org/ica-network/expert-groups/egad/records-in-contexts-application-guidelines/</w:t>
      </w:r>
    </w:p>
    <w:p>
      <w:pPr>
        <w:pStyle w:val="ListParagraph"/>
        <w:numPr>
          <w:ilvl w:val="0"/>
          <w:numId w:val="2"/>
        </w:numPr>
        <w:spacing w:after="60"/>
      </w:pPr>
      <w:r>
        <w:t xml:space="preserve">SEDIC · Publicadas las RiC-AG v0.1: https://www.sedic.es/publicadas-las-records-in-contexts-application-guidelines-ric-ag-v0-1-contenido-elaborado-por-sedicbot/</w:t>
      </w:r>
    </w:p>
    <w:p>
      <w:pPr>
        <w:pStyle w:val="ListParagraph"/>
        <w:numPr>
          <w:ilvl w:val="0"/>
          <w:numId w:val="2"/>
        </w:numPr>
        <w:spacing w:after="60"/>
      </w:pPr>
      <w:r>
        <w:t xml:space="preserve">EGAD · Lista de recursos RiC: https://ica-egad.github.io/RiC-ResourceList/index.html</w:t>
      </w:r>
    </w:p>
    <w:p>
      <w:pPr>
        <w:pStyle w:val="ListParagraph"/>
        <w:numPr>
          <w:ilvl w:val="0"/>
          <w:numId w:val="2"/>
        </w:numPr>
        <w:spacing w:after="60"/>
      </w:pPr>
      <w:r>
        <w:t xml:space="preserve">Archivo General de la Nación · Esquema de Metadatos para Entidades Públicas Colombianas (anuncio): https://x.com/ArchivoGeneral/status/2015782106538950766</w:t>
      </w:r>
    </w:p>
    <w:p>
      <w:pPr>
        <w:pStyle w:val="ListParagraph"/>
        <w:numPr>
          <w:ilvl w:val="0"/>
          <w:numId w:val="2"/>
        </w:numPr>
        <w:spacing w:after="60"/>
      </w:pPr>
      <w:r>
        <w:t xml:space="preserve">Archivo General de la Nación · Acuerdo 001 de 2024: https://normativa.archivogeneral.gov.co/acuerdo-no-001-del-2024/</w:t>
      </w:r>
    </w:p>
    <w:p>
      <w:pPr>
        <w:pStyle w:val="ListParagraph"/>
        <w:numPr>
          <w:ilvl w:val="0"/>
          <w:numId w:val="2"/>
        </w:numPr>
        <w:spacing w:after="60"/>
      </w:pPr>
      <w:r>
        <w:t xml:space="preserve">Archivo General de la Nación · Decreto 1080 de 2015: https://normativa.archivogeneral.gov.co/decreto-1080-de-2015/</w:t>
      </w:r>
    </w:p>
    <w:p>
      <w:pPr>
        <w:pStyle w:val="ListParagraph"/>
        <w:numPr>
          <w:ilvl w:val="0"/>
          <w:numId w:val="2"/>
        </w:numPr>
        <w:spacing w:after="60"/>
      </w:pPr>
      <w:r>
        <w:t xml:space="preserve">Archivo General de la Nación · Guía para el Plan de Preservación Digital: https://www.archivogeneral.gov.co/sites/default/files/Estructura_Web/5_Consulte/Recursos/Publicacionees/2022/GuiaPlanPreservacionDigital.pdf</w:t>
      </w:r>
    </w:p>
    <w:p>
      <w:pPr>
        <w:pStyle w:val="ListParagraph"/>
        <w:numPr>
          <w:ilvl w:val="0"/>
          <w:numId w:val="2"/>
        </w:numPr>
        <w:spacing w:after="60"/>
      </w:pPr>
      <w:r>
        <w:t xml:space="preserve">Archivo General de la Nación · Modelo de requisitos para un SGDEA: https://www.archivogeneral.gov.co/caja_de_herramientas/docs/11.%20instrumentos/MODELO%20DE%20REQUISITOS%20PARA%20UN%20SGDEA.pdf</w:t>
      </w:r>
    </w:p>
    <w:p>
      <w:pPr>
        <w:pStyle w:val="ListParagraph"/>
        <w:numPr>
          <w:ilvl w:val="0"/>
          <w:numId w:val="2"/>
        </w:numPr>
        <w:spacing w:after="60"/>
      </w:pPr>
      <w:r>
        <w:t xml:space="preserve">NTC 4095 · Norma general para la descripción archivística: https://www.emcali.com.co/documents/d/normograma/13-ntc-4095-de-1997?download=true</w:t>
      </w:r>
    </w:p>
    <w:p>
      <w:pPr>
        <w:pStyle w:val="ListParagraph"/>
        <w:numPr>
          <w:ilvl w:val="0"/>
          <w:numId w:val="2"/>
        </w:numPr>
        <w:spacing w:after="60"/>
      </w:pPr>
      <w:r>
        <w:t xml:space="preserve">DNP · CONPES 4144 de 2025: https://www.dnp.gov.co/publicaciones/Planeacion/Paginas/conpes-4144-hoja-de-ruta-colombia-inteligencia-artificial-retos-actuales-transformacion-futura.aspx</w:t>
      </w:r>
    </w:p>
    <w:p>
      <w:pPr>
        <w:pStyle w:val="ListParagraph"/>
        <w:numPr>
          <w:ilvl w:val="0"/>
          <w:numId w:val="2"/>
        </w:numPr>
        <w:spacing w:after="60"/>
      </w:pPr>
      <w:r>
        <w:t xml:space="preserve">Uso de AtoM en UNINPAHU (Bogotá): https://www.researchgate.net/publication/338322486</w:t>
      </w:r>
    </w:p>
    <w:p>
      <w:pPr>
        <w:pStyle w:val="ListParagraph"/>
        <w:numPr>
          <w:ilvl w:val="0"/>
          <w:numId w:val="2"/>
        </w:numPr>
        <w:spacing w:after="60"/>
      </w:pPr>
      <w:r>
        <w:t xml:space="preserve">AtoM y RiC (análisis de literatura): https://www.scielo.br/j/rdbci/a/pZCxBRdqt5nYSXLpXK34Qsr/?lang=en</w:t>
      </w:r>
    </w:p>
    <w:p>
      <w:pPr>
        <w:pStyle w:val="ListParagraph"/>
        <w:numPr>
          <w:ilvl w:val="0"/>
          <w:numId w:val="2"/>
        </w:numPr>
        <w:spacing w:after="60"/>
      </w:pPr>
      <w:r>
        <w:t xml:space="preserve">RiC-O Converter 3.0: https://www.sparna.fr/en/posts/ric-o-converter-3-0-transition-from-ead-or-eac-to-archival-knowledge-graphs/</w:t>
      </w:r>
    </w:p>
    <w:p>
      <w:pPr>
        <w:pStyle w:val="ListParagraph"/>
        <w:numPr>
          <w:ilvl w:val="0"/>
          <w:numId w:val="2"/>
        </w:numPr>
        <w:spacing w:after="60"/>
      </w:pPr>
      <w:r>
        <w:t xml:space="preserve">Archives nationales de Francia y RiC: https://www.bundesarchiv.de/assets/bundesarchiv/de/Downloads/KLA/KLA_20240423_AFIS_RIC-WORKSHOP_CLAVAUD.pdf</w:t>
      </w:r>
    </w:p>
    <w:p>
      <w:pPr>
        <w:pStyle w:val="ListParagraph"/>
        <w:numPr>
          <w:ilvl w:val="0"/>
          <w:numId w:val="2"/>
        </w:numPr>
        <w:spacing w:after="60"/>
      </w:pPr>
      <w:r>
        <w:t xml:space="preserve">docuteam context: https://www.docuteam.ch/en/context/</w:t>
      </w:r>
    </w:p>
    <w:p>
      <w:pPr>
        <w:pStyle w:val="ListParagraph"/>
        <w:numPr>
          <w:ilvl w:val="0"/>
          <w:numId w:val="2"/>
        </w:numPr>
        <w:spacing w:after="60"/>
      </w:pPr>
      <w:r>
        <w:t xml:space="preserve">NEDA-MC (CNEDA): https://www.ubu.es/sites/default/files/portal_page/files/neda_0.pdf</w:t>
      </w:r>
    </w:p>
    <w:p>
      <w:pPr>
        <w:pStyle w:val="ListParagraph"/>
        <w:numPr>
          <w:ilvl w:val="0"/>
          <w:numId w:val="2"/>
        </w:numPr>
        <w:spacing w:after="60"/>
      </w:pPr>
      <w:r>
        <w:t xml:space="preserve">Vidya (UEPG, Brasil): https://arxiv.org/abs/2605.16338</w:t>
      </w:r>
    </w:p>
    <w:p>
      <w:pPr>
        <w:pStyle w:val="ListParagraph"/>
        <w:numPr>
          <w:ilvl w:val="0"/>
          <w:numId w:val="2"/>
        </w:numPr>
        <w:spacing w:after="60"/>
      </w:pPr>
      <w:r>
        <w:t xml:space="preserve">InterPARES Trust AI: https://interparestrustai.org/</w:t>
      </w:r>
    </w:p>
    <w:p>
      <w:pPr>
        <w:pStyle w:val="ListParagraph"/>
        <w:numPr>
          <w:ilvl w:val="0"/>
          <w:numId w:val="2"/>
        </w:numPr>
        <w:spacing w:after="60"/>
      </w:pPr>
      <w:r>
        <w:t xml:space="preserve">IA y obsolescencia de formatos (ParER, 2025): https://ceur-ws.org/Vol-4240/paper40.pdf</w:t>
      </w:r>
    </w:p>
    <w:p>
      <w:pPr>
        <w:pStyle w:val="ListParagraph"/>
        <w:numPr>
          <w:ilvl w:val="0"/>
          <w:numId w:val="2"/>
        </w:numPr>
        <w:spacing w:after="60"/>
      </w:pPr>
      <w:r>
        <w:t xml:space="preserve">eScriptorium y Kraken (HTR libre): https://ub-mannheim.github.io/eScriptorium_Dokumentation/Training-with-eScriptorium-EN.html</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7"/>
        <w:sz w:val="16"/>
        <w:szCs w:val="16"/>
      </w:rPr>
      <w:t xml:space="preserve">RICORA · RiC: investigación, diagnóstico y hoja de ruta · página </w:t>
    </w:r>
    <w:r>
      <w:rPr>
        <w:color w:val="5B64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3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F5FD0"/>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C233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B647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RICORA: RiC, investigación, diagnóstico y hoja de ruta</dc:title>
  <dc:creator>RICORA</dc:creator>
  <cp:lastModifiedBy>Un-named</cp:lastModifiedBy>
  <cp:revision>1</cp:revision>
  <dcterms:created xsi:type="dcterms:W3CDTF">2026-10-03T21:02:29.608Z</dcterms:created>
  <dcterms:modified xsi:type="dcterms:W3CDTF">2026-10-03T21:02:29.609Z</dcterms:modified>
</cp:coreProperties>
</file>

<file path=docProps/custom.xml><?xml version="1.0" encoding="utf-8"?>
<Properties xmlns="http://schemas.openxmlformats.org/officeDocument/2006/custom-properties" xmlns:vt="http://schemas.openxmlformats.org/officeDocument/2006/docPropsVTypes"/>
</file>