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w:body>
    <w:p>
      <w:pPr>
        <w:pBdr>
          <w:bottom w:val="single" w:sz="12" w:space="4" w:color="b3312c"/>
        </w:pBdr>
        <w:spacing w:before="0" w:after="60"/>
      </w:pPr>
      <w:r>
        <w:rPr>
          <w:rFonts w:ascii="Calibri" w:cs="Calibri" w:eastAsia="Calibri" w:hAnsi="Calibri"/>
          <w:b/>
          <w:bCs/>
          <w:color w:val="3f3f3f"/>
          <w:sz w:val="40"/>
          <w:szCs w:val="40"/>
        </w:rPr>
        <w:t xml:space="preserve">Listening and Speaking Norms</w:t>
      </w:r>
    </w:p>
    <w:p>
      <w:pPr>
        <w:spacing w:before="0" w:after="200"/>
      </w:pPr>
      <w:r>
        <w:rPr>
          <w:rFonts w:ascii="Calibri" w:cs="Calibri" w:eastAsia="Calibri" w:hAnsi="Calibri"/>
          <w:i/>
          <w:iCs/>
          <w:color w:val="6e6e6e"/>
          <w:sz w:val="18"/>
          <w:szCs w:val="18"/>
        </w:rPr>
        <w:t xml:space="preserve">Culture Camp · Morning Meeting Lesson — Day 2 of 10 · Matchbook Learning K–8</w:t>
      </w:r>
    </w:p>
    <w:p>
      <w:pPr>
        <w:spacing w:before="260" w:after="100"/>
      </w:pPr>
      <w:r>
        <w:rPr>
          <w:rFonts w:ascii="Calibri" w:cs="Calibri" w:eastAsia="Calibri" w:hAnsi="Calibri"/>
          <w:b/>
          <w:bCs/>
          <w:color w:val="b3312c"/>
          <w:sz w:val="20"/>
          <w:szCs w:val="20"/>
        </w:rPr>
        <w:t xml:space="preserve">WHY THIS MATTERS</w:t>
      </w:r>
    </w:p>
    <w:p>
      <w:pPr>
        <w:spacing w:after="120"/>
      </w:pPr>
      <w:r>
        <w:rPr>
          <w:rFonts w:ascii="Calibri" w:cs="Calibri" w:eastAsia="Calibri" w:hAnsi="Calibri"/>
          <w:color w:val="1a1a1a"/>
          <w:sz w:val="21"/>
          <w:szCs w:val="21"/>
        </w:rPr>
        <w:t xml:space="preserve">Every part of Culture Camp exists for the same reason the school-wide procedures do: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p>
    <w:p>
      <w:pPr>
        <w:spacing w:after="120"/>
      </w:pPr>
      <w:r>
        <w:rPr>
          <w:rFonts w:ascii="Calibri" w:cs="Calibri" w:eastAsia="Calibri" w:hAnsi="Calibri"/>
          <w:color w:val="1a1a1a"/>
          <w:sz w:val="21"/>
          <w:szCs w:val="21"/>
        </w:rPr>
        <w:t xml:space="preserve">Paul Bambrick-Santoyo's Get Better Faster makes a structural version of the same case — its own coaching sequence puts routines and procedures first, before any instructional technique, because nothing else works until the room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p>
    <w:p>
      <w:pPr>
        <w:spacing w:after="120"/>
      </w:pPr>
      <w:r>
        <w:rPr>
          <w:rFonts w:ascii="Calibri" w:cs="Calibri" w:eastAsia="Calibri" w:hAnsi="Calibri"/>
          <w:color w:val="1a1a1a"/>
          <w:sz w:val="21"/>
          <w:szCs w:val="21"/>
        </w:rPr>
        <w:t xml:space="preserve">This also connects directly to Foundation 1: Adult Ownership. Amanda's session named three kinds of constancy — Emotional, Procedural, and Professional. Almost everything in Culture Camp is Procedural Constancy in action: proactively teaching expectations rather than reacting to their absence. Where a lesson leans more on Emotional Constancy (staying regulated, protecting dignity) or Professional Constancy (how adults coordinate with each other), it's named at the bottom of the card.</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FORMAT NOTE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follows the same shape as the school-wide procedure cards — Teacher/Adult Does and Students Do, side by side — applied to the Culture Camp Morning Meeting block. Culture Camp is taught building-wide during the protected 7:45 block, so there is no ‘Our Room's Specifics’ column: the specification here is the specification.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THIS IS A LIVING DOCUMENT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A few specifics were genuinely undecided when this was written. Rather than leave them blank, a call was made so staff have one clear answer to teach and hold — those calls are marked ✎ throughout. None of them are permanent. If one doesn't hold up in practice, revise it and move on — that's expected, not a failure of the plan.</w:t>
            </w:r>
          </w:p>
        </w:tc>
      </w:tr>
    </w:tbl>
    <w:p>
      <w:pPr>
        <w:spacing w:before="0" w:after="80"/>
      </w:pP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CROSS-CUTTING STANDARD — THE CLIPBOARD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This applies across every Culture Camp lesson and school-wide procedure. Every teacher carries a clipboard with a printed student roster — for marking warnings, positives, and any behavior tracking in real time, wherever the class happens to be. Departmentalized teachers carry a roster for every homeroom they see, not just one class.</w:t>
            </w:r>
          </w:p>
        </w:tc>
      </w:tr>
    </w:tbl>
    <w:p>
      <w:pPr>
        <w:spacing w:before="0" w:after="80"/>
      </w:pPr>
    </w:p>
    <w:p>
      <w:pPr>
        <w:numPr>
          <w:ilvl w:val="0"/>
          <w:numId w:val="1"/>
        </w:numPr>
        <w:spacing w:before="40" w:after="40"/>
        <w:ind w:left="480" w:hanging="280"/>
      </w:pPr>
      <w:r>
        <w:rPr>
          <w:rFonts w:ascii="Calibri" w:cs="Calibri" w:eastAsia="Calibri" w:hAnsi="Calibri"/>
          <w:color w:val="1a1a1a"/>
          <w:sz w:val="21"/>
          <w:szCs w:val="21"/>
        </w:rPr>
        <w:t xml:space="preserve">Print rosters weekly, not once for the whole year — enough copies for the week, not a large stockpile (a new student mid-week means updating the roster, and a big stack of outdated copies makes that harder).</w:t>
      </w:r>
    </w:p>
    <w:p>
      <w:pPr>
        <w:numPr>
          <w:ilvl w:val="0"/>
          <w:numId w:val="1"/>
        </w:numPr>
        <w:spacing w:before="40" w:after="40"/>
        <w:ind w:left="480" w:hanging="280"/>
      </w:pPr>
      <w:r>
        <w:rPr>
          <w:rFonts w:ascii="Calibri" w:cs="Calibri" w:eastAsia="Calibri" w:hAnsi="Calibri"/>
          <w:color w:val="1a1a1a"/>
          <w:sz w:val="21"/>
          <w:szCs w:val="21"/>
        </w:rPr>
        <w:t xml:space="preserve">The clipboard travels with the teacher — Morning Meeting, hallway, lunch, recess duty — anywhere positives or behavior need to be marked quickly.</w:t>
      </w:r>
    </w:p>
    <w:tbl>
      <w:tblPr>
        <w:tblW w:w="10440" w:type="dxa"/>
        <w:tblBorders>
          <w:top w:val="single" w:sz="4" w:color="d9d9d9"/>
          <w:left w:val="single" w:sz="24" w:color="b3312c"/>
          <w:bottom w:val="single" w:sz="4" w:color="d9d9d9"/>
          <w:right w:val="single" w:sz="4" w:color="d9d9d9"/>
          <w:insideH w:val="nil"/>
          <w:insideV w:val="nil"/>
        </w:tblBorders>
        <w:tblCellMar>
          <w:left w:w="150" w:type="dxa"/>
          <w:right w:w="150" w:type="dxa"/>
        </w:tblCellMar>
      </w:tblPr>
      <w:tblGrid>
        <w:gridCol w:w="10440"/>
      </w:tblGrid>
      <w:tr>
        <w:trPr/>
        <w:tc>
          <w:tcPr>
            <w:tcW w:w="10440" w:type="dxa"/>
            <w:tcBorders>
              <w:top w:val="single" w:sz="4" w:color="d9d9d9"/>
              <w:left w:val="single" w:sz="24" w:color="b3312c"/>
              <w:bottom w:val="single" w:sz="4" w:color="d9d9d9"/>
              <w:right w:val="single" w:sz="4" w:color="d9d9d9"/>
            </w:tcBorders>
            <w:shd w:val="clear" w:fill="f2f2f2"/>
            <w:tcMar>
              <w:top w:w="120" w:type="dxa"/>
              <w:left w:w="150" w:type="dxa"/>
              <w:bottom w:w="120" w:type="dxa"/>
              <w:right w:w="150" w:type="dxa"/>
            </w:tcMar>
          </w:tcPr>
          <w:p>
            <w:pPr>
              <w:spacing w:before="0" w:after="0"/>
            </w:pPr>
            <w:r>
              <w:rPr>
                <w:rFonts w:ascii="Calibri" w:cs="Calibri" w:eastAsia="Calibri" w:hAnsi="Calibri"/>
                <w:b/>
                <w:bCs/>
                <w:color w:val="b3312c"/>
                <w:sz w:val="19"/>
                <w:szCs w:val="19"/>
              </w:rPr>
              <w:t xml:space="preserve">MORNING MEETING SCAFFOLD  </w:t>
            </w:r>
            <w:r>
              <w:rPr>
                <w:rFonts w:ascii="Calibri" w:cs="Calibri" w:eastAsia="Calibri" w:hAnsi="Calibri"/>
                <w:b/>
                <w:bCs/>
                <w:color w:val="1a1a1a"/>
                <w:sz w:val="19"/>
                <w:szCs w:val="19"/>
              </w:rPr>
              <w:t xml:space="preserve"> </w:t>
            </w:r>
            <w:r>
              <w:rPr>
                <w:rFonts w:ascii="Calibri" w:cs="Calibri" w:eastAsia="Calibri" w:hAnsi="Calibri"/>
                <w:color w:val="1a1a1a"/>
                <w:sz w:val="19"/>
                <w:szCs w:val="19"/>
              </w:rPr>
              <w:t xml:space="preserve">The protected block starts at 7:45 every day and shrinks as students reach mastery: Days 1–3 = 45 min · Days 4–5 = 40 min · Days 6–8 = 30 min · Day 9 = 20 min · Day 10 = 15 min. The six moves below stay in the same order every day; only the emphasis and the time spent on each move change.</w:t>
            </w:r>
          </w:p>
        </w:tc>
      </w:tr>
    </w:tbl>
    <w:p>
      <w:pPr>
        <w:spacing w:before="0" w:after="80"/>
      </w:pPr>
    </w:p>
    <w:p>
      <w:pPr>
        <w:spacing w:before="200" w:after="40"/>
      </w:pPr>
      <w:r>
        <w:rPr>
          <w:rFonts w:ascii="Calibri" w:cs="Calibri" w:eastAsia="Calibri" w:hAnsi="Calibri"/>
          <w:b/>
          <w:bCs/>
          <w:color w:val="3f3f3f"/>
          <w:sz w:val="32"/>
          <w:szCs w:val="32"/>
        </w:rPr>
        <w:t xml:space="preserve">Listening and Speaking Norms</w:t>
      </w:r>
    </w:p>
    <w:p>
      <w:pPr>
        <w:spacing w:before="0" w:after="140"/>
      </w:pPr>
      <w:r>
        <w:rPr>
          <w:rFonts w:ascii="Calibri" w:cs="Calibri" w:eastAsia="Calibri" w:hAnsi="Calibri"/>
          <w:i/>
          <w:iCs/>
          <w:color w:val="6e6e6e"/>
          <w:sz w:val="19"/>
          <w:szCs w:val="19"/>
        </w:rPr>
        <w:t xml:space="preserve">Day 2 of 10 · 45 minutes · Starts 7:45 · Focus: Students practice listening, turn-taking, and respectful speaking so everyone can participate.</w:t>
      </w:r>
    </w:p>
    <w:p>
      <w:pPr>
        <w:spacing w:before="260" w:after="100"/>
      </w:pPr>
      <w:r>
        <w:rPr>
          <w:rFonts w:ascii="Calibri" w:cs="Calibri" w:eastAsia="Calibri" w:hAnsi="Calibri"/>
          <w:b/>
          <w:bCs/>
          <w:color w:val="b3312c"/>
          <w:sz w:val="20"/>
          <w:szCs w:val="20"/>
        </w:rPr>
        <w:t xml:space="preserve">RATIONALE</w:t>
      </w:r>
    </w:p>
    <w:p>
      <w:pPr>
        <w:spacing w:after="120"/>
      </w:pPr>
      <w:r>
        <w:rPr>
          <w:rFonts w:ascii="Calibri" w:cs="Calibri" w:eastAsia="Calibri" w:hAnsi="Calibri"/>
          <w:color w:val="1a1a1a"/>
          <w:sz w:val="21"/>
          <w:szCs w:val="21"/>
        </w:rPr>
        <w:t xml:space="preserve">A community can only run on shared voice if listening is taught as an action, not a mood. Today makes ‘whole-body listening' and one-voice turn-taking observable, so every student — not just the confident ones — can speak and be heard.</w:t>
      </w:r>
    </w:p>
    <w:p>
      <w:pPr>
        <w:spacing w:before="260" w:after="100"/>
      </w:pPr>
      <w:r>
        <w:rPr>
          <w:rFonts w:ascii="Calibri" w:cs="Calibri" w:eastAsia="Calibri" w:hAnsi="Calibri"/>
          <w:b/>
          <w:bCs/>
          <w:color w:val="b3312c"/>
          <w:sz w:val="20"/>
          <w:szCs w:val="20"/>
        </w:rPr>
        <w:t xml:space="preserve">THE SIX-MOVE BLOCK</w:t>
      </w:r>
    </w:p>
    <w:tbl>
      <w:tblPr>
        <w:tblW w:w="10440" w:type="dxa"/>
        <w:tblBorders>
          <w:top w:val="single" w:sz="4" w:color="d9d9d9"/>
          <w:left w:val="single" w:sz="4" w:color="d9d9d9"/>
          <w:bottom w:val="single" w:sz="4" w:color="d9d9d9"/>
          <w:right w:val="single" w:sz="4" w:color="d9d9d9"/>
          <w:insideH w:val="single" w:sz="4" w:color="d9d9d9"/>
          <w:insideV w:val="single" w:sz="4" w:color="d9d9d9"/>
        </w:tblBorders>
        <w:tblCellMar>
          <w:left w:w="110" w:type="dxa"/>
          <w:right w:w="110" w:type="dxa"/>
        </w:tblCellMar>
      </w:tblPr>
      <w:tblGrid>
        <w:gridCol w:w="1500"/>
        <w:gridCol w:w="4470"/>
        <w:gridCol w:w="4470"/>
      </w:tblGrid>
      <w:tr>
        <w:trPr>
          <w:tblHeader/>
        </w:trPr>
        <w:tc>
          <w:tcPr>
            <w:tcW w:w="150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MOVE</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TEACHER / ADULT DOES</w:t>
            </w:r>
          </w:p>
        </w:tc>
        <w:tc>
          <w:tcPr>
            <w:tcW w:w="4470" w:type="dxa"/>
            <w:shd w:val="clear" w:fill="b3312c"/>
            <w:tcMar>
              <w:top w:w="60" w:type="dxa"/>
              <w:left w:w="110" w:type="dxa"/>
              <w:bottom w:w="60" w:type="dxa"/>
              <w:right w:w="110" w:type="dxa"/>
            </w:tcMar>
            <w:vAlign w:val="center"/>
          </w:tcPr>
          <w:p>
            <w:pPr>
              <w:spacing w:before="20" w:after="20"/>
            </w:pPr>
            <w:r>
              <w:rPr>
                <w:rFonts w:ascii="Calibri" w:cs="Calibri" w:eastAsia="Calibri" w:hAnsi="Calibri"/>
                <w:b/>
                <w:bCs/>
                <w:caps/>
                <w:color w:val="ffffff"/>
                <w:sz w:val="18"/>
                <w:szCs w:val="18"/>
              </w:rPr>
              <w:t xml:space="preserve">STUDENTS DO</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Regulate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Threshold greeting; quick breathing reset.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Enter and settle; bodies calm and ready to listen.</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Orient</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Names today's focus: listening and speaking so everyone participates.</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Know the goal: one voice at a time, whole-body listening.</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Connect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Models whole-body listening (eyes, still body, nod) during a partner share.</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Listen to a partner with a still body and eyes on the speaker.</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Practice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Teaches the ‘one voice' signal and a sentence starter for responding.</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Take turns using the signal; respond with a sentence starter.</w:t>
            </w:r>
          </w:p>
        </w:tc>
      </w:tr>
      <w:tr>
        <w:trPr/>
        <w:tc>
          <w:tcPr>
            <w:tcW w:w="150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Asks students to name one listening or speaking move they'll use today.</w:t>
            </w:r>
          </w:p>
        </w:tc>
        <w:tc>
          <w:tcPr>
            <w:tcW w:w="4470" w:type="dxa"/>
            <w:shd w:val="clear" w:fill="ffffff"/>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Commit to one move (e.g., ‘I'll wait for the one-voice signal').</w:t>
            </w:r>
          </w:p>
        </w:tc>
      </w:tr>
      <w:tr>
        <w:trPr/>
        <w:tc>
          <w:tcPr>
            <w:tcW w:w="150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Transition</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Cues the close; narrates strong listening seen (Narrate the Positive).</w:t>
            </w:r>
          </w:p>
        </w:tc>
        <w:tc>
          <w:tcPr>
            <w:tcW w:w="4470" w:type="dxa"/>
            <w:shd w:val="clear" w:fill="f2f2f2"/>
            <w:tcMar>
              <w:top w:w="60" w:type="dxa"/>
              <w:left w:w="110" w:type="dxa"/>
              <w:bottom w:w="60" w:type="dxa"/>
              <w:right w:w="110" w:type="dxa"/>
            </w:tcMar>
            <w:vAlign w:val="center"/>
          </w:tcPr>
          <w:p>
            <w:pPr>
              <w:spacing w:before="20" w:after="20"/>
            </w:pPr>
            <w:r>
              <w:rPr>
                <w:rFonts w:ascii="Calibri" w:cs="Calibri" w:eastAsia="Calibri" w:hAnsi="Calibri"/>
                <w:color w:val="1a1a1a"/>
                <w:sz w:val="19"/>
                <w:szCs w:val="19"/>
              </w:rPr>
              <w:t xml:space="preserve">Move to learning on the signal, carrying the norm forward.</w:t>
            </w:r>
          </w:p>
        </w:tc>
      </w:tr>
    </w:tbl>
    <w:p>
      <w:pPr>
        <w:spacing w:before="0" w:after="100"/>
      </w:pPr>
    </w:p>
    <w:p>
      <w:pPr>
        <w:spacing w:before="260" w:after="100"/>
      </w:pPr>
      <w:r>
        <w:rPr>
          <w:rFonts w:ascii="Calibri" w:cs="Calibri" w:eastAsia="Calibri" w:hAnsi="Calibri"/>
          <w:b/>
          <w:bCs/>
          <w:color w:val="b3312c"/>
          <w:sz w:val="20"/>
          <w:szCs w:val="20"/>
        </w:rPr>
        <w:t xml:space="preserve">NON-NEGOTIABLES</w:t>
      </w:r>
    </w:p>
    <w:p>
      <w:pPr>
        <w:numPr>
          <w:ilvl w:val="0"/>
          <w:numId w:val="1"/>
        </w:numPr>
        <w:spacing w:before="40" w:after="40"/>
        <w:ind w:left="480" w:hanging="280"/>
      </w:pPr>
      <w:r>
        <w:rPr>
          <w:rFonts w:ascii="Calibri" w:cs="Calibri" w:eastAsia="Calibri" w:hAnsi="Calibri"/>
          <w:color w:val="1a1a1a"/>
          <w:sz w:val="21"/>
          <w:szCs w:val="21"/>
        </w:rPr>
        <w:t xml:space="preserve">‘One voice at a time' is a taught signal, not a volume request — reteach the signal, don't just say ‘shh'.</w:t>
      </w:r>
    </w:p>
    <w:p>
      <w:pPr>
        <w:numPr>
          <w:ilvl w:val="0"/>
          <w:numId w:val="1"/>
        </w:numPr>
        <w:spacing w:before="40" w:after="40"/>
        <w:ind w:left="480" w:hanging="280"/>
      </w:pPr>
      <w:r>
        <w:rPr>
          <w:rFonts w:ascii="Calibri" w:cs="Calibri" w:eastAsia="Calibri" w:hAnsi="Calibri"/>
          <w:color w:val="1a1a1a"/>
          <w:sz w:val="21"/>
          <w:szCs w:val="21"/>
        </w:rPr>
        <w:t xml:space="preserve">Every student gets at least one structured turn to speak — participation is built, not hoped for.</w:t>
      </w:r>
    </w:p>
    <w:p>
      <w:pPr>
        <w:numPr>
          <w:ilvl w:val="0"/>
          <w:numId w:val="1"/>
        </w:numPr>
        <w:spacing w:before="40" w:after="40"/>
        <w:ind w:left="480" w:hanging="280"/>
      </w:pPr>
      <w:r>
        <w:rPr>
          <w:rFonts w:ascii="Calibri" w:cs="Calibri" w:eastAsia="Calibri" w:hAnsi="Calibri"/>
          <w:color w:val="1a1a1a"/>
          <w:sz w:val="21"/>
          <w:szCs w:val="21"/>
        </w:rPr>
        <w:t xml:space="preserve">Sentence starters stay posted so responding is a routine, not a risk.</w:t>
      </w:r>
    </w:p>
    <w:p>
      <w:pPr>
        <w:spacing w:before="260" w:after="100"/>
      </w:pPr>
      <w:r>
        <w:rPr>
          <w:rFonts w:ascii="Calibri" w:cs="Calibri" w:eastAsia="Calibri" w:hAnsi="Calibri"/>
          <w:b/>
          <w:bCs/>
          <w:color w:val="b3312c"/>
          <w:sz w:val="20"/>
          <w:szCs w:val="20"/>
        </w:rPr>
        <w:t xml:space="preserve">SAMPLE TEACHER LANGUAGE (WTD)</w:t>
      </w:r>
    </w:p>
    <w:p>
      <w:pPr>
        <w:spacing w:before="0" w:after="80"/>
      </w:pPr>
      <w:r>
        <w:rPr>
          <w:rFonts w:ascii="Calibri" w:cs="Calibri" w:eastAsia="Calibri" w:hAnsi="Calibri"/>
          <w:b/>
          <w:bCs/>
          <w:color w:val="1a1a1a"/>
          <w:sz w:val="21"/>
          <w:szCs w:val="21"/>
        </w:rPr>
        <w:t xml:space="preserve">One-voice cue: </w:t>
      </w:r>
      <w:r>
        <w:rPr>
          <w:rFonts w:ascii="Calibri" w:cs="Calibri" w:eastAsia="Calibri" w:hAnsi="Calibri"/>
          <w:color w:val="1a1a1a"/>
          <w:sz w:val="21"/>
          <w:szCs w:val="21"/>
        </w:rPr>
        <w:t xml:space="preserve">“One voice — whose turn is it?”</w:t>
      </w:r>
    </w:p>
    <w:p>
      <w:pPr>
        <w:spacing w:before="0" w:after="80"/>
      </w:pPr>
      <w:r>
        <w:rPr>
          <w:rFonts w:ascii="Calibri" w:cs="Calibri" w:eastAsia="Calibri" w:hAnsi="Calibri"/>
          <w:b/>
          <w:bCs/>
          <w:color w:val="1a1a1a"/>
          <w:sz w:val="21"/>
          <w:szCs w:val="21"/>
        </w:rPr>
        <w:t xml:space="preserve">Listening cue: </w:t>
      </w:r>
      <w:r>
        <w:rPr>
          <w:rFonts w:ascii="Calibri" w:cs="Calibri" w:eastAsia="Calibri" w:hAnsi="Calibri"/>
          <w:color w:val="1a1a1a"/>
          <w:sz w:val="21"/>
          <w:szCs w:val="21"/>
        </w:rPr>
        <w:t xml:space="preserve">“Whole-body listening — show me eyes and a still body.”</w:t>
      </w:r>
    </w:p>
    <w:p>
      <w:pPr>
        <w:pBdr>
          <w:top w:val="single" w:sz="4" w:space="4" w:color="d9d9d9"/>
        </w:pBdr>
        <w:spacing w:before="200" w:after="120"/>
      </w:pPr>
      <w:r>
        <w:rPr>
          <w:rFonts w:ascii="Calibri" w:cs="Calibri" w:eastAsia="Calibri" w:hAnsi="Calibri"/>
          <w:i/>
          <w:iCs/>
          <w:color w:val="6e6e6e"/>
          <w:sz w:val="16"/>
          <w:szCs w:val="16"/>
        </w:rPr>
        <w:t xml:space="preserve">TLAC: Cold Call, Habits of Discussion · GBF: Narrate the Positive, Strong Voice · Ties to Procedural Constancy</w:t>
      </w:r>
    </w:p>
    <w:p>
      <w:r>
        <w:br w:type="page"/>
      </w:r>
    </w:p>
    <w:p>
      <w:pPr>
        <w:pBdr>
          <w:bottom w:val="single" w:sz="12" w:space="4" w:color="b3312c"/>
        </w:pBdr>
        <w:spacing w:before="0" w:after="60"/>
      </w:pPr>
      <w:r>
        <w:rPr>
          <w:rFonts w:ascii="Calibri" w:cs="Calibri" w:eastAsia="Calibri" w:hAnsi="Calibri"/>
          <w:b/>
          <w:bCs/>
          <w:color w:val="3f3f3f"/>
          <w:sz w:val="40"/>
          <w:szCs w:val="40"/>
        </w:rPr>
        <w:t xml:space="preserve">Teaching Listening and Speaking Norms: Sample Script</w:t>
      </w:r>
    </w:p>
    <w:p>
      <w:pPr>
        <w:spacing w:after="140"/>
      </w:pPr>
      <w:r>
        <w:rPr>
          <w:rFonts w:ascii="Calibri" w:cs="Calibri" w:eastAsia="Calibri" w:hAnsi="Calibri"/>
          <w:color w:val="1a1a1a"/>
          <w:sz w:val="21"/>
          <w:szCs w:val="21"/>
        </w:rPr>
        <w:t xml:space="preserve">This is a sample script. It's meant to be taught, not read verbatim — add your own school's language, examples, and personality before you use it. It teaches listening and speaking norms inside the protected Morning Meeting block; adjust pacing for your grade band.</w:t>
      </w:r>
    </w:p>
    <w:p>
      <w:pPr>
        <w:spacing w:before="160" w:after="60"/>
      </w:pPr>
      <w:r>
        <w:rPr>
          <w:rFonts w:ascii="Calibri" w:cs="Calibri" w:eastAsia="Calibri" w:hAnsi="Calibri"/>
          <w:b/>
          <w:bCs/>
          <w:color w:val="3f3f3f"/>
          <w:sz w:val="22"/>
          <w:szCs w:val="22"/>
        </w:rPr>
        <w:t xml:space="preserve">Day 2 Focus: Introducing Listening and Speaking Norms (≈ 45 minutes)</w:t>
      </w:r>
    </w:p>
    <w:p>
      <w:pPr>
        <w:spacing w:before="160" w:after="60"/>
      </w:pPr>
      <w:r>
        <w:rPr>
          <w:rFonts w:ascii="Calibri" w:cs="Calibri" w:eastAsia="Calibri" w:hAnsi="Calibri"/>
          <w:b/>
          <w:bCs/>
          <w:color w:val="3f3f3f"/>
          <w:sz w:val="22"/>
          <w:szCs w:val="22"/>
        </w:rPr>
        <w:t xml:space="preserve">1. Hook &amp; Purpose (4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“In this room everyone gets heard — but only if we listen on purpose and take turns. Today we practice both.”</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Gather students; post the ‘one voice' signal and two sentence starters.</w:t>
      </w:r>
    </w:p>
    <w:p>
      <w:pPr>
        <w:spacing w:before="160" w:after="60"/>
      </w:pPr>
      <w:r>
        <w:rPr>
          <w:rFonts w:ascii="Calibri" w:cs="Calibri" w:eastAsia="Calibri" w:hAnsi="Calibri"/>
          <w:b/>
          <w:bCs/>
          <w:color w:val="3f3f3f"/>
          <w:sz w:val="22"/>
          <w:szCs w:val="22"/>
        </w:rPr>
        <w:t xml:space="preserve">2. Model Whole-Body Listening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“Watch what listening looks like: eyes on the speaker, still body, a small nod. That's a job, not a mood.”</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Demonstrate whole-body listening while a volunteer speaks; name each part.</w:t>
      </w:r>
    </w:p>
    <w:p>
      <w:pPr>
        <w:spacing w:before="160" w:after="60"/>
      </w:pPr>
      <w:r>
        <w:rPr>
          <w:rFonts w:ascii="Calibri" w:cs="Calibri" w:eastAsia="Calibri" w:hAnsi="Calibri"/>
          <w:b/>
          <w:bCs/>
          <w:color w:val="3f3f3f"/>
          <w:sz w:val="22"/>
          <w:szCs w:val="22"/>
        </w:rPr>
        <w:t xml:space="preserve">3. Model Turn-Taking (6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“Here's how we take turns: I give the one-voice signal, one person speaks, then we respond with a starter.”</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Model the signal and a sentence-starter response with a student partner.</w:t>
      </w:r>
    </w:p>
    <w:p>
      <w:pPr>
        <w:spacing w:before="160" w:after="60"/>
      </w:pPr>
      <w:r>
        <w:rPr>
          <w:rFonts w:ascii="Calibri" w:cs="Calibri" w:eastAsia="Calibri" w:hAnsi="Calibri"/>
          <w:b/>
          <w:bCs/>
          <w:color w:val="3f3f3f"/>
          <w:sz w:val="22"/>
          <w:szCs w:val="22"/>
        </w:rPr>
        <w:t xml:space="preserve">4. Practice Cold (5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“Let's try one round with nothing else going on — signal, one voice, respond.”</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one calm round of turn-taking, narrating who listens with their whole body.</w:t>
      </w:r>
    </w:p>
    <w:p>
      <w:pPr>
        <w:spacing w:before="160" w:after="60"/>
      </w:pPr>
      <w:r>
        <w:rPr>
          <w:rFonts w:ascii="Calibri" w:cs="Calibri" w:eastAsia="Calibri" w:hAnsi="Calibri"/>
          <w:b/>
          <w:bCs/>
          <w:color w:val="3f3f3f"/>
          <w:sz w:val="22"/>
          <w:szCs w:val="22"/>
        </w:rPr>
        <w:t xml:space="preserve">5. Practice Full Speed (8 min)</w:t>
      </w:r>
    </w:p>
    <w:p>
      <w:pPr>
        <w:spacing w:before="0" w:after="100"/>
      </w:pPr>
      <w:r>
        <w:rPr>
          <w:rFonts w:ascii="Calibri" w:cs="Calibri" w:eastAsia="Calibri" w:hAnsi="Calibri"/>
          <w:b/>
          <w:bCs/>
          <w:color w:val="1a1a1a"/>
          <w:sz w:val="21"/>
          <w:szCs w:val="21"/>
        </w:rPr>
        <w:t xml:space="preserve">SAY: </w:t>
      </w:r>
      <w:r>
        <w:rPr>
          <w:rFonts w:ascii="Calibri" w:cs="Calibri" w:eastAsia="Calibri" w:hAnsi="Calibri"/>
          <w:color w:val="1a1a1a"/>
          <w:sz w:val="21"/>
          <w:szCs w:val="21"/>
        </w:rPr>
        <w:t xml:space="preserve">“Now a real discussion — I want the signal honored and everyone's voice used at least once.”</w:t>
      </w:r>
    </w:p>
    <w:p>
      <w:pPr>
        <w:spacing w:before="0" w:after="100"/>
      </w:pPr>
      <w:r>
        <w:rPr>
          <w:rFonts w:ascii="Calibri" w:cs="Calibri" w:eastAsia="Calibri" w:hAnsi="Calibri"/>
          <w:b/>
          <w:bCs/>
          <w:color w:val="1a1a1a"/>
          <w:sz w:val="21"/>
          <w:szCs w:val="21"/>
        </w:rPr>
        <w:t xml:space="preserve">DO: </w:t>
      </w:r>
      <w:r>
        <w:rPr>
          <w:rFonts w:ascii="Calibri" w:cs="Calibri" w:eastAsia="Calibri" w:hAnsi="Calibri"/>
          <w:color w:val="1a1a1a"/>
          <w:sz w:val="21"/>
          <w:szCs w:val="21"/>
        </w:rPr>
        <w:t xml:space="preserve">Run a short real discussion; reset the signal if voices overlap rather than talking over it.</w:t>
      </w:r>
    </w:p>
    <w:p>
      <w:pPr>
        <w:spacing w:before="160" w:after="60"/>
      </w:pPr>
      <w:r>
        <w:rPr>
          <w:rFonts w:ascii="Calibri" w:cs="Calibri" w:eastAsia="Calibri" w:hAnsi="Calibri"/>
          <w:b/>
          <w:bCs/>
          <w:color w:val="3f3f3f"/>
          <w:sz w:val="22"/>
          <w:szCs w:val="22"/>
        </w:rPr>
        <w:t xml:space="preserve">Reinforcing the Routine (following days)</w:t>
      </w:r>
    </w:p>
    <w:p>
      <w:pPr>
        <w:numPr>
          <w:ilvl w:val="0"/>
          <w:numId w:val="1"/>
        </w:numPr>
        <w:spacing w:before="40" w:after="40"/>
        <w:ind w:left="480" w:hanging="280"/>
      </w:pPr>
      <w:r>
        <w:rPr>
          <w:rFonts w:ascii="Calibri" w:cs="Calibri" w:eastAsia="Calibri" w:hAnsi="Calibri"/>
          <w:color w:val="1a1a1a"/>
          <w:sz w:val="21"/>
          <w:szCs w:val="21"/>
        </w:rPr>
        <w:t xml:space="preserve">Run the six moves in the same order every morning — the order never changes, only the emphasis and the time.</w:t>
      </w:r>
    </w:p>
    <w:p>
      <w:pPr>
        <w:numPr>
          <w:ilvl w:val="0"/>
          <w:numId w:val="1"/>
        </w:numPr>
        <w:spacing w:before="40" w:after="40"/>
        <w:ind w:left="480" w:hanging="280"/>
      </w:pPr>
      <w:r>
        <w:rPr>
          <w:rFonts w:ascii="Calibri" w:cs="Calibri" w:eastAsia="Calibri" w:hAnsi="Calibri"/>
          <w:color w:val="1a1a1a"/>
          <w:sz w:val="21"/>
          <w:szCs w:val="21"/>
        </w:rPr>
        <w:t xml:space="preserve">Narrate the positive specifically when a student nails a move — this is the routine, not a one-time compliment.</w:t>
      </w:r>
    </w:p>
    <w:p>
      <w:pPr>
        <w:numPr>
          <w:ilvl w:val="0"/>
          <w:numId w:val="1"/>
        </w:numPr>
        <w:spacing w:before="40" w:after="40"/>
        <w:ind w:left="480" w:hanging="280"/>
      </w:pPr>
      <w:r>
        <w:rPr>
          <w:rFonts w:ascii="Calibri" w:cs="Calibri" w:eastAsia="Calibri" w:hAnsi="Calibri"/>
          <w:color w:val="1a1a1a"/>
          <w:sz w:val="21"/>
          <w:szCs w:val="21"/>
        </w:rPr>
        <w:t xml:space="preserve">When a move breaks down, reset calmly and run it again rather than letting it slide.</w:t>
      </w:r>
    </w:p>
    <w:p>
      <w:pPr>
        <w:numPr>
          <w:ilvl w:val="0"/>
          <w:numId w:val="1"/>
        </w:numPr>
        <w:spacing w:before="40" w:after="40"/>
        <w:ind w:left="480" w:hanging="280"/>
      </w:pPr>
      <w:r>
        <w:rPr>
          <w:rFonts w:ascii="Calibri" w:cs="Calibri" w:eastAsia="Calibri" w:hAnsi="Calibri"/>
          <w:color w:val="1a1a1a"/>
          <w:sz w:val="21"/>
          <w:szCs w:val="21"/>
        </w:rPr>
        <w:t xml:space="preserve">Hold the Morning Meeting scaffold times; protect the 7:45 start every day.</w:t>
      </w:r>
    </w:p>
    <w:p>
      <w:pPr>
        <w:numPr>
          <w:ilvl w:val="0"/>
          <w:numId w:val="1"/>
        </w:numPr>
        <w:spacing w:before="40" w:after="40"/>
        <w:ind w:left="480" w:hanging="280"/>
      </w:pPr>
      <w:r>
        <w:rPr>
          <w:rFonts w:ascii="Calibri" w:cs="Calibri" w:eastAsia="Calibri" w:hAnsi="Calibri"/>
          <w:color w:val="1a1a1a"/>
          <w:sz w:val="21"/>
          <w:szCs w:val="21"/>
        </w:rPr>
        <w:t xml:space="preserve">By the target day, expect students to run the block with minimal prompting.</w:t>
      </w:r>
    </w:p>
    <w:p>
      <w:pPr>
        <w:spacing w:before="60" w:after="120"/>
      </w:pPr>
      <w:r>
        <w:rPr>
          <w:rFonts w:ascii="Calibri" w:cs="Calibri" w:eastAsia="Calibri" w:hAnsi="Calibri"/>
          <w:color w:val="1a1a1a"/>
          <w:sz w:val="21"/>
          <w:szCs w:val="21"/>
        </w:rPr>
        <w:t xml:space="preserve">Personalize before you teach it: use your own students' names and the cues they already know.</w:t>
      </w:r>
    </w:p>
    <w:sectPr>
      <w:headerReference r:id="rId6" w:type="default"/>
      <w:footerReference r:id="rId7" w:type="default"/>
      <w:pgSz w:h="15840" w:w="12240" w:orient="portrait"/>
      <w:pgMar w:bottom="900" w:top="900" w:left="900" w:right="90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CULTURE CAMP</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