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w:body>
    <w:p>
      <w:pPr>
        <w:pBdr>
          <w:bottom w:val="single" w:sz="12" w:space="4" w:color="b3312c"/>
        </w:pBdr>
        <w:spacing w:before="0" w:after="60"/>
      </w:pPr>
      <w:r>
        <w:rPr>
          <w:rFonts w:ascii="Calibri" w:cs="Calibri" w:eastAsia="Calibri" w:hAnsi="Calibri"/>
          <w:b/>
          <w:bCs/>
          <w:color w:val="3f3f3f"/>
          <w:sz w:val="40"/>
          <w:szCs w:val="40"/>
        </w:rPr>
        <w:t xml:space="preserve">Full-System Launch</w:t>
      </w:r>
    </w:p>
    <w:p>
      <w:pPr>
        <w:spacing w:before="0" w:after="200"/>
      </w:pPr>
      <w:r>
        <w:rPr>
          <w:rFonts w:ascii="Calibri" w:cs="Calibri" w:eastAsia="Calibri" w:hAnsi="Calibri"/>
          <w:i/>
          <w:iCs/>
          <w:color w:val="6e6e6e"/>
          <w:sz w:val="18"/>
          <w:szCs w:val="18"/>
        </w:rPr>
        <w:t xml:space="preserve">Culture Camp · Morning Meeting Lesson — Day 1 of 10 · Matchbook Learning K–8</w:t>
      </w:r>
    </w:p>
    <w:p>
      <w:pPr>
        <w:spacing w:before="260" w:after="100"/>
      </w:pPr>
      <w:r>
        <w:rPr>
          <w:rFonts w:ascii="Calibri" w:cs="Calibri" w:eastAsia="Calibri" w:hAnsi="Calibri"/>
          <w:b/>
          <w:bCs/>
          <w:color w:val="b3312c"/>
          <w:sz w:val="20"/>
          <w:szCs w:val="20"/>
        </w:rPr>
        <w:t xml:space="preserve">WHY THIS MATTERS</w:t>
      </w:r>
    </w:p>
    <w:p>
      <w:pPr>
        <w:spacing w:after="120"/>
      </w:pPr>
      <w:r>
        <w:rPr>
          <w:rFonts w:ascii="Calibri" w:cs="Calibri" w:eastAsia="Calibri" w:hAnsi="Calibri"/>
          <w:color w:val="1a1a1a"/>
          <w:sz w:val="21"/>
          <w:szCs w:val="21"/>
        </w:rPr>
        <w:t xml:space="preserve">Every part of Culture Camp exists for the same reason the school-wide procedures do: systems have to be taught, not assumed. Doug Lemov's research behind Teach Like a Champion found that the strongest teachers in the highest-poverty schools weren't relying on charisma — they were running specific, practiced, repeatable moves. Two of those moves anchor almost everything below: Threshold (the teacher is physically present and personally greets every student at the boundary of a space) and Strong Voice (calm, economical, authoritative language that doesn't over-explain or repeat itself).</w:t>
      </w:r>
    </w:p>
    <w:p>
      <w:pPr>
        <w:spacing w:after="120"/>
      </w:pPr>
      <w:r>
        <w:rPr>
          <w:rFonts w:ascii="Calibri" w:cs="Calibri" w:eastAsia="Calibri" w:hAnsi="Calibri"/>
          <w:color w:val="1a1a1a"/>
          <w:sz w:val="21"/>
          <w:szCs w:val="21"/>
        </w:rPr>
        <w:t xml:space="preserve">Paul Bambrick-Santoyo's Get Better Faster makes a structural version of the same case — its own coaching sequence puts routines and procedures first, before any instructional technique, because nothing else works until the room is calm enough to teach in. Two GBF moves show up constantly below: Radar (also called Be Seen Looking — positioning so you can see the whole space and are visibly watching it) and Narrate the Positive (naming what's going right, out loud, while it's happening, rather than only correcting what's wrong).</w:t>
      </w:r>
    </w:p>
    <w:p>
      <w:pPr>
        <w:spacing w:after="120"/>
      </w:pPr>
      <w:r>
        <w:rPr>
          <w:rFonts w:ascii="Calibri" w:cs="Calibri" w:eastAsia="Calibri" w:hAnsi="Calibri"/>
          <w:color w:val="1a1a1a"/>
          <w:sz w:val="21"/>
          <w:szCs w:val="21"/>
        </w:rPr>
        <w:t xml:space="preserve">This also connects directly to Foundation 1: Adult Ownership. Amanda's session named three kinds of constancy — Emotional, Procedural, and Professional. Almost everything in Culture Camp is Procedural Constancy in action: proactively teaching expectations rather than reacting to their absence. Where a lesson leans more on Emotional Constancy (staying regulated, protecting dignity) or Professional Constancy (how adults coordinate with each other), it's named at the bottom of the card.</w:t>
      </w:r>
    </w:p>
    <w:tbl>
      <w:tblPr>
        <w:tblW w:w="10440" w:type="dxa"/>
        <w:tblBorders>
          <w:top w:val="single" w:sz="4" w:color="d9d9d9"/>
          <w:left w:val="single" w:sz="24" w:color="b3312c"/>
          <w:bottom w:val="single" w:sz="4" w:color="d9d9d9"/>
          <w:right w:val="single" w:sz="4" w:color="d9d9d9"/>
          <w:insideH w:val="nil"/>
          <w:insideV w:val="nil"/>
        </w:tblBorders>
        <w:tblCellMar>
          <w:left w:w="150" w:type="dxa"/>
          <w:right w:w="150" w:type="dxa"/>
        </w:tblCellMar>
      </w:tblPr>
      <w:tblGrid>
        <w:gridCol w:w="10440"/>
      </w:tblGrid>
      <w:tr>
        <w:trPr/>
        <w:tc>
          <w:tcPr>
            <w:tcW w:w="10440" w:type="dxa"/>
            <w:tcBorders>
              <w:top w:val="single" w:sz="4" w:color="d9d9d9"/>
              <w:left w:val="single" w:sz="24" w:color="b3312c"/>
              <w:bottom w:val="single" w:sz="4" w:color="d9d9d9"/>
              <w:right w:val="single" w:sz="4" w:color="d9d9d9"/>
            </w:tcBorders>
            <w:shd w:val="clear" w:fill="f2f2f2"/>
            <w:tcMar>
              <w:top w:w="120" w:type="dxa"/>
              <w:left w:w="150" w:type="dxa"/>
              <w:bottom w:w="120" w:type="dxa"/>
              <w:right w:w="150" w:type="dxa"/>
            </w:tcMar>
          </w:tcPr>
          <w:p>
            <w:pPr>
              <w:spacing w:before="0" w:after="0"/>
            </w:pPr>
            <w:r>
              <w:rPr>
                <w:rFonts w:ascii="Calibri" w:cs="Calibri" w:eastAsia="Calibri" w:hAnsi="Calibri"/>
                <w:b/>
                <w:bCs/>
                <w:color w:val="b3312c"/>
                <w:sz w:val="19"/>
                <w:szCs w:val="19"/>
              </w:rPr>
              <w:t xml:space="preserve">FORMAT NOTE  </w:t>
            </w:r>
            <w:r>
              <w:rPr>
                <w:rFonts w:ascii="Calibri" w:cs="Calibri" w:eastAsia="Calibri" w:hAnsi="Calibri"/>
                <w:b/>
                <w:bCs/>
                <w:color w:val="1a1a1a"/>
                <w:sz w:val="19"/>
                <w:szCs w:val="19"/>
              </w:rPr>
              <w:t xml:space="preserve"> </w:t>
            </w:r>
            <w:r>
              <w:rPr>
                <w:rFonts w:ascii="Calibri" w:cs="Calibri" w:eastAsia="Calibri" w:hAnsi="Calibri"/>
                <w:color w:val="1a1a1a"/>
                <w:sz w:val="19"/>
                <w:szCs w:val="19"/>
              </w:rPr>
              <w:t xml:space="preserve">This follows the same shape as the school-wide procedure cards — Teacher/Adult Does and Students Do, side by side — applied to the Culture Camp Morning Meeting block. Culture Camp is taught building-wide during the protected 8:00 block, so there is no ‘Our Room's Specifics’ column: the specification here is the specification.</w:t>
            </w:r>
          </w:p>
        </w:tc>
      </w:tr>
    </w:tbl>
    <w:p>
      <w:pPr>
        <w:spacing w:before="0" w:after="80"/>
      </w:pPr>
    </w:p>
    <w:tbl>
      <w:tblPr>
        <w:tblW w:w="10440" w:type="dxa"/>
        <w:tblBorders>
          <w:top w:val="single" w:sz="4" w:color="d9d9d9"/>
          <w:left w:val="single" w:sz="24" w:color="b3312c"/>
          <w:bottom w:val="single" w:sz="4" w:color="d9d9d9"/>
          <w:right w:val="single" w:sz="4" w:color="d9d9d9"/>
          <w:insideH w:val="nil"/>
          <w:insideV w:val="nil"/>
        </w:tblBorders>
        <w:tblCellMar>
          <w:left w:w="150" w:type="dxa"/>
          <w:right w:w="150" w:type="dxa"/>
        </w:tblCellMar>
      </w:tblPr>
      <w:tblGrid>
        <w:gridCol w:w="10440"/>
      </w:tblGrid>
      <w:tr>
        <w:trPr/>
        <w:tc>
          <w:tcPr>
            <w:tcW w:w="10440" w:type="dxa"/>
            <w:tcBorders>
              <w:top w:val="single" w:sz="4" w:color="d9d9d9"/>
              <w:left w:val="single" w:sz="24" w:color="b3312c"/>
              <w:bottom w:val="single" w:sz="4" w:color="d9d9d9"/>
              <w:right w:val="single" w:sz="4" w:color="d9d9d9"/>
            </w:tcBorders>
            <w:shd w:val="clear" w:fill="f2f2f2"/>
            <w:tcMar>
              <w:top w:w="120" w:type="dxa"/>
              <w:left w:w="150" w:type="dxa"/>
              <w:bottom w:w="120" w:type="dxa"/>
              <w:right w:w="150" w:type="dxa"/>
            </w:tcMar>
          </w:tcPr>
          <w:p>
            <w:pPr>
              <w:spacing w:before="0" w:after="0"/>
            </w:pPr>
            <w:r>
              <w:rPr>
                <w:rFonts w:ascii="Calibri" w:cs="Calibri" w:eastAsia="Calibri" w:hAnsi="Calibri"/>
                <w:b/>
                <w:bCs/>
                <w:color w:val="b3312c"/>
                <w:sz w:val="19"/>
                <w:szCs w:val="19"/>
              </w:rPr>
              <w:t xml:space="preserve">THIS IS A LIVING DOCUMENT  </w:t>
            </w:r>
            <w:r>
              <w:rPr>
                <w:rFonts w:ascii="Calibri" w:cs="Calibri" w:eastAsia="Calibri" w:hAnsi="Calibri"/>
                <w:b/>
                <w:bCs/>
                <w:color w:val="1a1a1a"/>
                <w:sz w:val="19"/>
                <w:szCs w:val="19"/>
              </w:rPr>
              <w:t xml:space="preserve"> </w:t>
            </w:r>
            <w:r>
              <w:rPr>
                <w:rFonts w:ascii="Calibri" w:cs="Calibri" w:eastAsia="Calibri" w:hAnsi="Calibri"/>
                <w:color w:val="1a1a1a"/>
                <w:sz w:val="19"/>
                <w:szCs w:val="19"/>
              </w:rPr>
              <w:t xml:space="preserve">A few specifics were genuinely undecided when this was written. Rather than leave them blank, a call was made so staff have one clear answer to teach and hold — those calls are marked ✎ throughout. None of them are permanent. If one doesn't hold up in practice, revise it and move on — that's expected, not a failure of the plan.</w:t>
            </w:r>
          </w:p>
        </w:tc>
      </w:tr>
    </w:tbl>
    <w:p>
      <w:pPr>
        <w:spacing w:before="0" w:after="80"/>
      </w:pPr>
    </w:p>
    <w:tbl>
      <w:tblPr>
        <w:tblW w:w="10440" w:type="dxa"/>
        <w:tblBorders>
          <w:top w:val="single" w:sz="4" w:color="d9d9d9"/>
          <w:left w:val="single" w:sz="24" w:color="b3312c"/>
          <w:bottom w:val="single" w:sz="4" w:color="d9d9d9"/>
          <w:right w:val="single" w:sz="4" w:color="d9d9d9"/>
          <w:insideH w:val="nil"/>
          <w:insideV w:val="nil"/>
        </w:tblBorders>
        <w:tblCellMar>
          <w:left w:w="150" w:type="dxa"/>
          <w:right w:w="150" w:type="dxa"/>
        </w:tblCellMar>
      </w:tblPr>
      <w:tblGrid>
        <w:gridCol w:w="10440"/>
      </w:tblGrid>
      <w:tr>
        <w:trPr/>
        <w:tc>
          <w:tcPr>
            <w:tcW w:w="10440" w:type="dxa"/>
            <w:tcBorders>
              <w:top w:val="single" w:sz="4" w:color="d9d9d9"/>
              <w:left w:val="single" w:sz="24" w:color="b3312c"/>
              <w:bottom w:val="single" w:sz="4" w:color="d9d9d9"/>
              <w:right w:val="single" w:sz="4" w:color="d9d9d9"/>
            </w:tcBorders>
            <w:shd w:val="clear" w:fill="f2f2f2"/>
            <w:tcMar>
              <w:top w:w="120" w:type="dxa"/>
              <w:left w:w="150" w:type="dxa"/>
              <w:bottom w:w="120" w:type="dxa"/>
              <w:right w:w="150" w:type="dxa"/>
            </w:tcMar>
          </w:tcPr>
          <w:p>
            <w:pPr>
              <w:spacing w:before="0" w:after="0"/>
            </w:pPr>
            <w:r>
              <w:rPr>
                <w:rFonts w:ascii="Calibri" w:cs="Calibri" w:eastAsia="Calibri" w:hAnsi="Calibri"/>
                <w:b/>
                <w:bCs/>
                <w:color w:val="b3312c"/>
                <w:sz w:val="19"/>
                <w:szCs w:val="19"/>
              </w:rPr>
              <w:t xml:space="preserve">CROSS-CUTTING STANDARD — THE CLIPBOARD  </w:t>
            </w:r>
            <w:r>
              <w:rPr>
                <w:rFonts w:ascii="Calibri" w:cs="Calibri" w:eastAsia="Calibri" w:hAnsi="Calibri"/>
                <w:b/>
                <w:bCs/>
                <w:color w:val="1a1a1a"/>
                <w:sz w:val="19"/>
                <w:szCs w:val="19"/>
              </w:rPr>
              <w:t xml:space="preserve"> </w:t>
            </w:r>
            <w:r>
              <w:rPr>
                <w:rFonts w:ascii="Calibri" w:cs="Calibri" w:eastAsia="Calibri" w:hAnsi="Calibri"/>
                <w:color w:val="1a1a1a"/>
                <w:sz w:val="19"/>
                <w:szCs w:val="19"/>
              </w:rPr>
              <w:t xml:space="preserve">This applies across every Culture Camp lesson and school-wide procedure. Every teacher carries a clipboard with a printed student roster — for marking warnings, positives, and any behavior tracking in real time, wherever the class happens to be. Departmentalized teachers carry a roster for every homeroom they see, not just one class.</w:t>
            </w:r>
          </w:p>
        </w:tc>
      </w:tr>
    </w:tbl>
    <w:p>
      <w:pPr>
        <w:spacing w:before="0" w:after="80"/>
      </w:pPr>
    </w:p>
    <w:p>
      <w:pPr>
        <w:numPr>
          <w:ilvl w:val="0"/>
          <w:numId w:val="1"/>
        </w:numPr>
        <w:spacing w:before="40" w:after="40"/>
        <w:ind w:left="480" w:hanging="280"/>
      </w:pPr>
      <w:r>
        <w:rPr>
          <w:rFonts w:ascii="Calibri" w:cs="Calibri" w:eastAsia="Calibri" w:hAnsi="Calibri"/>
          <w:color w:val="1a1a1a"/>
          <w:sz w:val="21"/>
          <w:szCs w:val="21"/>
        </w:rPr>
        <w:t xml:space="preserve">Print rosters weekly, not once for the whole year — enough copies for the week, not a large stockpile (a new student mid-week means updating the roster, and a big stack of outdated copies makes that harder).</w:t>
      </w:r>
    </w:p>
    <w:p>
      <w:pPr>
        <w:numPr>
          <w:ilvl w:val="0"/>
          <w:numId w:val="1"/>
        </w:numPr>
        <w:spacing w:before="40" w:after="40"/>
        <w:ind w:left="480" w:hanging="280"/>
      </w:pPr>
      <w:r>
        <w:rPr>
          <w:rFonts w:ascii="Calibri" w:cs="Calibri" w:eastAsia="Calibri" w:hAnsi="Calibri"/>
          <w:color w:val="1a1a1a"/>
          <w:sz w:val="21"/>
          <w:szCs w:val="21"/>
        </w:rPr>
        <w:t xml:space="preserve">The clipboard travels with the teacher — Morning Meeting, hallway, lunch, recess duty — anywhere positives or behavior need to be marked quickly.</w:t>
      </w:r>
    </w:p>
    <w:tbl>
      <w:tblPr>
        <w:tblW w:w="10440" w:type="dxa"/>
        <w:tblBorders>
          <w:top w:val="single" w:sz="4" w:color="d9d9d9"/>
          <w:left w:val="single" w:sz="24" w:color="b3312c"/>
          <w:bottom w:val="single" w:sz="4" w:color="d9d9d9"/>
          <w:right w:val="single" w:sz="4" w:color="d9d9d9"/>
          <w:insideH w:val="nil"/>
          <w:insideV w:val="nil"/>
        </w:tblBorders>
        <w:tblCellMar>
          <w:left w:w="150" w:type="dxa"/>
          <w:right w:w="150" w:type="dxa"/>
        </w:tblCellMar>
      </w:tblPr>
      <w:tblGrid>
        <w:gridCol w:w="10440"/>
      </w:tblGrid>
      <w:tr>
        <w:trPr/>
        <w:tc>
          <w:tcPr>
            <w:tcW w:w="10440" w:type="dxa"/>
            <w:tcBorders>
              <w:top w:val="single" w:sz="4" w:color="d9d9d9"/>
              <w:left w:val="single" w:sz="24" w:color="b3312c"/>
              <w:bottom w:val="single" w:sz="4" w:color="d9d9d9"/>
              <w:right w:val="single" w:sz="4" w:color="d9d9d9"/>
            </w:tcBorders>
            <w:shd w:val="clear" w:fill="f2f2f2"/>
            <w:tcMar>
              <w:top w:w="120" w:type="dxa"/>
              <w:left w:w="150" w:type="dxa"/>
              <w:bottom w:w="120" w:type="dxa"/>
              <w:right w:w="150" w:type="dxa"/>
            </w:tcMar>
          </w:tcPr>
          <w:p>
            <w:pPr>
              <w:spacing w:before="0" w:after="0"/>
            </w:pPr>
            <w:r>
              <w:rPr>
                <w:rFonts w:ascii="Calibri" w:cs="Calibri" w:eastAsia="Calibri" w:hAnsi="Calibri"/>
                <w:b/>
                <w:bCs/>
                <w:color w:val="b3312c"/>
                <w:sz w:val="19"/>
                <w:szCs w:val="19"/>
              </w:rPr>
              <w:t xml:space="preserve">MORNING MEETING SCAFFOLD  </w:t>
            </w:r>
            <w:r>
              <w:rPr>
                <w:rFonts w:ascii="Calibri" w:cs="Calibri" w:eastAsia="Calibri" w:hAnsi="Calibri"/>
                <w:b/>
                <w:bCs/>
                <w:color w:val="1a1a1a"/>
                <w:sz w:val="19"/>
                <w:szCs w:val="19"/>
              </w:rPr>
              <w:t xml:space="preserve"> </w:t>
            </w:r>
            <w:r>
              <w:rPr>
                <w:rFonts w:ascii="Calibri" w:cs="Calibri" w:eastAsia="Calibri" w:hAnsi="Calibri"/>
                <w:color w:val="1a1a1a"/>
                <w:sz w:val="19"/>
                <w:szCs w:val="19"/>
              </w:rPr>
              <w:t xml:space="preserve">The protected block starts at 8:00 every day and shrinks as students reach mastery: Days 1–3 = 45 min · Days 4–5 = 40 min · Days 6–8 = 30 min · Day 9 = 20 min · Day 10 = 15 min. The six moves below stay in the same order every day; only the emphasis and the time spent on each move change.</w:t>
            </w:r>
          </w:p>
        </w:tc>
      </w:tr>
    </w:tbl>
    <w:p>
      <w:pPr>
        <w:spacing w:before="0" w:after="80"/>
      </w:pPr>
    </w:p>
    <w:p>
      <w:pPr>
        <w:spacing w:before="200" w:after="40"/>
      </w:pPr>
      <w:r>
        <w:rPr>
          <w:rFonts w:ascii="Calibri" w:cs="Calibri" w:eastAsia="Calibri" w:hAnsi="Calibri"/>
          <w:b/>
          <w:bCs/>
          <w:color w:val="3f3f3f"/>
          <w:sz w:val="32"/>
          <w:szCs w:val="32"/>
        </w:rPr>
        <w:t xml:space="preserve">Full-System Launch</w:t>
      </w:r>
    </w:p>
    <w:p>
      <w:pPr>
        <w:spacing w:before="0" w:after="140"/>
      </w:pPr>
      <w:r>
        <w:rPr>
          <w:rFonts w:ascii="Calibri" w:cs="Calibri" w:eastAsia="Calibri" w:hAnsi="Calibri"/>
          <w:i/>
          <w:iCs/>
          <w:color w:val="6e6e6e"/>
          <w:sz w:val="19"/>
          <w:szCs w:val="19"/>
        </w:rPr>
        <w:t xml:space="preserve">Day 1 of 10 · 45 minutes · Starts 8:00 · Focus: Students learn the complete six-move Culture Camp routine and the shared Culture Promise.</w:t>
      </w:r>
    </w:p>
    <w:p>
      <w:pPr>
        <w:spacing w:before="260" w:after="100"/>
      </w:pPr>
      <w:r>
        <w:rPr>
          <w:rFonts w:ascii="Calibri" w:cs="Calibri" w:eastAsia="Calibri" w:hAnsi="Calibri"/>
          <w:b/>
          <w:bCs/>
          <w:color w:val="b3312c"/>
          <w:sz w:val="20"/>
          <w:szCs w:val="20"/>
        </w:rPr>
        <w:t xml:space="preserve">RATIONALE</w:t>
      </w:r>
    </w:p>
    <w:p>
      <w:pPr>
        <w:spacing w:after="120"/>
      </w:pPr>
      <w:r>
        <w:rPr>
          <w:rFonts w:ascii="Calibri" w:cs="Calibri" w:eastAsia="Calibri" w:hAnsi="Calibri"/>
          <w:color w:val="1a1a1a"/>
          <w:sz w:val="21"/>
          <w:szCs w:val="21"/>
        </w:rPr>
        <w:t xml:space="preserve">Day 1 is the one day the entire system is taught from zero. Everything after it is rehearsal and refinement, so the six moves are modeled slowly and named out loud here — students should leave able to name the routine and recite the Culture Promise (Safe, Respectful, Responsible).</w:t>
      </w:r>
    </w:p>
    <w:p>
      <w:pPr>
        <w:spacing w:before="260" w:after="100"/>
      </w:pPr>
      <w:r>
        <w:rPr>
          <w:rFonts w:ascii="Calibri" w:cs="Calibri" w:eastAsia="Calibri" w:hAnsi="Calibri"/>
          <w:b/>
          <w:bCs/>
          <w:color w:val="b3312c"/>
          <w:sz w:val="20"/>
          <w:szCs w:val="20"/>
        </w:rPr>
        <w:t xml:space="preserve">THE SIX-MOVE BLOCK</w:t>
      </w:r>
    </w:p>
    <w:tbl>
      <w:tblPr>
        <w:tblW w:w="10440" w:type="dxa"/>
        <w:tblBorders>
          <w:top w:val="single" w:sz="4" w:color="d9d9d9"/>
          <w:left w:val="single" w:sz="4" w:color="d9d9d9"/>
          <w:bottom w:val="single" w:sz="4" w:color="d9d9d9"/>
          <w:right w:val="single" w:sz="4" w:color="d9d9d9"/>
          <w:insideH w:val="single" w:sz="4" w:color="d9d9d9"/>
          <w:insideV w:val="single" w:sz="4" w:color="d9d9d9"/>
        </w:tblBorders>
        <w:tblCellMar>
          <w:left w:w="110" w:type="dxa"/>
          <w:right w:w="110" w:type="dxa"/>
        </w:tblCellMar>
      </w:tblPr>
      <w:tblGrid>
        <w:gridCol w:w="1500"/>
        <w:gridCol w:w="4470"/>
        <w:gridCol w:w="4470"/>
      </w:tblGrid>
      <w:tr>
        <w:trPr>
          <w:tblHeader/>
        </w:trPr>
        <w:tc>
          <w:tcPr>
            <w:tcW w:w="1500" w:type="dxa"/>
            <w:shd w:val="clear" w:fill="b3312c"/>
            <w:tcMar>
              <w:top w:w="60" w:type="dxa"/>
              <w:left w:w="110" w:type="dxa"/>
              <w:bottom w:w="60" w:type="dxa"/>
              <w:right w:w="110" w:type="dxa"/>
            </w:tcMar>
            <w:vAlign w:val="center"/>
          </w:tcPr>
          <w:p>
            <w:pPr>
              <w:spacing w:before="20" w:after="20"/>
            </w:pPr>
            <w:r>
              <w:rPr>
                <w:rFonts w:ascii="Calibri" w:cs="Calibri" w:eastAsia="Calibri" w:hAnsi="Calibri"/>
                <w:b/>
                <w:bCs/>
                <w:caps/>
                <w:color w:val="ffffff"/>
                <w:sz w:val="18"/>
                <w:szCs w:val="18"/>
              </w:rPr>
              <w:t xml:space="preserve">MOVE</w:t>
            </w:r>
          </w:p>
        </w:tc>
        <w:tc>
          <w:tcPr>
            <w:tcW w:w="4470" w:type="dxa"/>
            <w:shd w:val="clear" w:fill="b3312c"/>
            <w:tcMar>
              <w:top w:w="60" w:type="dxa"/>
              <w:left w:w="110" w:type="dxa"/>
              <w:bottom w:w="60" w:type="dxa"/>
              <w:right w:w="110" w:type="dxa"/>
            </w:tcMar>
            <w:vAlign w:val="center"/>
          </w:tcPr>
          <w:p>
            <w:pPr>
              <w:spacing w:before="20" w:after="20"/>
            </w:pPr>
            <w:r>
              <w:rPr>
                <w:rFonts w:ascii="Calibri" w:cs="Calibri" w:eastAsia="Calibri" w:hAnsi="Calibri"/>
                <w:b/>
                <w:bCs/>
                <w:caps/>
                <w:color w:val="ffffff"/>
                <w:sz w:val="18"/>
                <w:szCs w:val="18"/>
              </w:rPr>
              <w:t xml:space="preserve">TEACHER / ADULT DOES</w:t>
            </w:r>
          </w:p>
        </w:tc>
        <w:tc>
          <w:tcPr>
            <w:tcW w:w="4470" w:type="dxa"/>
            <w:shd w:val="clear" w:fill="b3312c"/>
            <w:tcMar>
              <w:top w:w="60" w:type="dxa"/>
              <w:left w:w="110" w:type="dxa"/>
              <w:bottom w:w="60" w:type="dxa"/>
              <w:right w:w="110" w:type="dxa"/>
            </w:tcMar>
            <w:vAlign w:val="center"/>
          </w:tcPr>
          <w:p>
            <w:pPr>
              <w:spacing w:before="20" w:after="20"/>
            </w:pPr>
            <w:r>
              <w:rPr>
                <w:rFonts w:ascii="Calibri" w:cs="Calibri" w:eastAsia="Calibri" w:hAnsi="Calibri"/>
                <w:b/>
                <w:bCs/>
                <w:caps/>
                <w:color w:val="ffffff"/>
                <w:sz w:val="18"/>
                <w:szCs w:val="18"/>
              </w:rPr>
              <w:t xml:space="preserve">STUDENTS DO</w:t>
            </w:r>
          </w:p>
        </w:tc>
      </w:tr>
      <w:tr>
        <w:trPr/>
        <w:tc>
          <w:tcPr>
            <w:tcW w:w="1500" w:type="dxa"/>
            <w:shd w:val="clear" w:fill="ffffff"/>
            <w:tcMar>
              <w:top w:w="60" w:type="dxa"/>
              <w:left w:w="110" w:type="dxa"/>
              <w:bottom w:w="60" w:type="dxa"/>
              <w:right w:w="110" w:type="dxa"/>
            </w:tcMar>
            <w:vAlign w:val="center"/>
          </w:tcPr>
          <w:p>
            <w:pPr>
              <w:spacing w:before="20" w:after="20"/>
            </w:pPr>
            <w:r>
              <w:rPr>
                <w:rFonts w:ascii="Calibri" w:cs="Calibri" w:eastAsia="Calibri" w:hAnsi="Calibri"/>
                <w:color w:val="1a1a1a"/>
                <w:sz w:val="19"/>
                <w:szCs w:val="19"/>
              </w:rPr>
              <w:t xml:space="preserve">Regulate</w:t>
            </w:r>
          </w:p>
        </w:tc>
        <w:tc>
          <w:tcPr>
            <w:tcW w:w="4470" w:type="dxa"/>
            <w:shd w:val="clear" w:fill="ffffff"/>
            <w:tcMar>
              <w:top w:w="60" w:type="dxa"/>
              <w:left w:w="110" w:type="dxa"/>
              <w:bottom w:w="60" w:type="dxa"/>
              <w:right w:w="110" w:type="dxa"/>
            </w:tcMar>
            <w:vAlign w:val="center"/>
          </w:tcPr>
          <w:p>
            <w:pPr>
              <w:spacing w:before="20" w:after="20"/>
            </w:pPr>
            <w:r>
              <w:rPr>
                <w:rFonts w:ascii="Calibri" w:cs="Calibri" w:eastAsia="Calibri" w:hAnsi="Calibri"/>
                <w:color w:val="1a1a1a"/>
                <w:sz w:val="19"/>
                <w:szCs w:val="19"/>
              </w:rPr>
              <w:t xml:space="preserve">Greets each student at the threshold; leads a slow breathing reset (Threshold).</w:t>
            </w:r>
          </w:p>
        </w:tc>
        <w:tc>
          <w:tcPr>
            <w:tcW w:w="4470" w:type="dxa"/>
            <w:shd w:val="clear" w:fill="ffffff"/>
            <w:tcMar>
              <w:top w:w="60" w:type="dxa"/>
              <w:left w:w="110" w:type="dxa"/>
              <w:bottom w:w="60" w:type="dxa"/>
              <w:right w:w="110" w:type="dxa"/>
            </w:tcMar>
            <w:vAlign w:val="center"/>
          </w:tcPr>
          <w:p>
            <w:pPr>
              <w:spacing w:before="20" w:after="20"/>
            </w:pPr>
            <w:r>
              <w:rPr>
                <w:rFonts w:ascii="Calibri" w:cs="Calibri" w:eastAsia="Calibri" w:hAnsi="Calibri"/>
                <w:color w:val="1a1a1a"/>
                <w:sz w:val="19"/>
                <w:szCs w:val="19"/>
              </w:rPr>
              <w:t xml:space="preserve">Enter, settle bodies, follow the breathing reset — calm before content.</w:t>
            </w:r>
          </w:p>
        </w:tc>
      </w:tr>
      <w:tr>
        <w:trPr/>
        <w:tc>
          <w:tcPr>
            <w:tcW w:w="1500" w:type="dxa"/>
            <w:shd w:val="clear" w:fill="f2f2f2"/>
            <w:tcMar>
              <w:top w:w="60" w:type="dxa"/>
              <w:left w:w="110" w:type="dxa"/>
              <w:bottom w:w="60" w:type="dxa"/>
              <w:right w:w="110" w:type="dxa"/>
            </w:tcMar>
            <w:vAlign w:val="center"/>
          </w:tcPr>
          <w:p>
            <w:pPr>
              <w:spacing w:before="20" w:after="20"/>
            </w:pPr>
            <w:r>
              <w:rPr>
                <w:rFonts w:ascii="Calibri" w:cs="Calibri" w:eastAsia="Calibri" w:hAnsi="Calibri"/>
                <w:color w:val="1a1a1a"/>
                <w:sz w:val="19"/>
                <w:szCs w:val="19"/>
              </w:rPr>
              <w:t xml:space="preserve">Orient</w:t>
            </w:r>
          </w:p>
        </w:tc>
        <w:tc>
          <w:tcPr>
            <w:tcW w:w="4470" w:type="dxa"/>
            <w:shd w:val="clear" w:fill="f2f2f2"/>
            <w:tcMar>
              <w:top w:w="60" w:type="dxa"/>
              <w:left w:w="110" w:type="dxa"/>
              <w:bottom w:w="60" w:type="dxa"/>
              <w:right w:w="110" w:type="dxa"/>
            </w:tcMar>
            <w:vAlign w:val="center"/>
          </w:tcPr>
          <w:p>
            <w:pPr>
              <w:spacing w:before="20" w:after="20"/>
            </w:pPr>
            <w:r>
              <w:rPr>
                <w:rFonts w:ascii="Calibri" w:cs="Calibri" w:eastAsia="Calibri" w:hAnsi="Calibri"/>
                <w:color w:val="1a1a1a"/>
                <w:sz w:val="19"/>
                <w:szCs w:val="19"/>
              </w:rPr>
              <w:t xml:space="preserve">Posts and reads the agenda; names today's purpose in one sentence (Strong Voice).</w:t>
            </w:r>
          </w:p>
        </w:tc>
        <w:tc>
          <w:tcPr>
            <w:tcW w:w="4470" w:type="dxa"/>
            <w:shd w:val="clear" w:fill="f2f2f2"/>
            <w:tcMar>
              <w:top w:w="60" w:type="dxa"/>
              <w:left w:w="110" w:type="dxa"/>
              <w:bottom w:w="60" w:type="dxa"/>
              <w:right w:w="110" w:type="dxa"/>
            </w:tcMar>
            <w:vAlign w:val="center"/>
          </w:tcPr>
          <w:p>
            <w:pPr>
              <w:spacing w:before="20" w:after="20"/>
            </w:pPr>
            <w:r>
              <w:rPr>
                <w:rFonts w:ascii="Calibri" w:cs="Calibri" w:eastAsia="Calibri" w:hAnsi="Calibri"/>
                <w:color w:val="1a1a1a"/>
                <w:sz w:val="19"/>
                <w:szCs w:val="19"/>
              </w:rPr>
              <w:t xml:space="preserve">Eyes on the agenda; know what the block is for.</w:t>
            </w:r>
          </w:p>
        </w:tc>
      </w:tr>
      <w:tr>
        <w:trPr/>
        <w:tc>
          <w:tcPr>
            <w:tcW w:w="1500" w:type="dxa"/>
            <w:shd w:val="clear" w:fill="ffffff"/>
            <w:tcMar>
              <w:top w:w="60" w:type="dxa"/>
              <w:left w:w="110" w:type="dxa"/>
              <w:bottom w:w="60" w:type="dxa"/>
              <w:right w:w="110" w:type="dxa"/>
            </w:tcMar>
            <w:vAlign w:val="center"/>
          </w:tcPr>
          <w:p>
            <w:pPr>
              <w:spacing w:before="20" w:after="20"/>
            </w:pPr>
            <w:r>
              <w:rPr>
                <w:rFonts w:ascii="Calibri" w:cs="Calibri" w:eastAsia="Calibri" w:hAnsi="Calibri"/>
                <w:color w:val="1a1a1a"/>
                <w:sz w:val="19"/>
                <w:szCs w:val="19"/>
              </w:rPr>
              <w:t xml:space="preserve">Connect</w:t>
            </w:r>
          </w:p>
        </w:tc>
        <w:tc>
          <w:tcPr>
            <w:tcW w:w="4470" w:type="dxa"/>
            <w:shd w:val="clear" w:fill="ffffff"/>
            <w:tcMar>
              <w:top w:w="60" w:type="dxa"/>
              <w:left w:w="110" w:type="dxa"/>
              <w:bottom w:w="60" w:type="dxa"/>
              <w:right w:w="110" w:type="dxa"/>
            </w:tcMar>
            <w:vAlign w:val="center"/>
          </w:tcPr>
          <w:p>
            <w:pPr>
              <w:spacing w:before="20" w:after="20"/>
            </w:pPr>
            <w:r>
              <w:rPr>
                <w:rFonts w:ascii="Calibri" w:cs="Calibri" w:eastAsia="Calibri" w:hAnsi="Calibri"/>
                <w:color w:val="1a1a1a"/>
                <w:sz w:val="19"/>
                <w:szCs w:val="19"/>
              </w:rPr>
              <w:t xml:space="preserve">Models a 20-second partner greeting with eye contact and name.</w:t>
            </w:r>
          </w:p>
        </w:tc>
        <w:tc>
          <w:tcPr>
            <w:tcW w:w="4470" w:type="dxa"/>
            <w:shd w:val="clear" w:fill="ffffff"/>
            <w:tcMar>
              <w:top w:w="60" w:type="dxa"/>
              <w:left w:w="110" w:type="dxa"/>
              <w:bottom w:w="60" w:type="dxa"/>
              <w:right w:w="110" w:type="dxa"/>
            </w:tcMar>
            <w:vAlign w:val="center"/>
          </w:tcPr>
          <w:p>
            <w:pPr>
              <w:spacing w:before="20" w:after="20"/>
            </w:pPr>
            <w:r>
              <w:rPr>
                <w:rFonts w:ascii="Calibri" w:cs="Calibri" w:eastAsia="Calibri" w:hAnsi="Calibri"/>
                <w:color w:val="1a1a1a"/>
                <w:sz w:val="19"/>
                <w:szCs w:val="19"/>
              </w:rPr>
              <w:t xml:space="preserve">Greet a partner by name — practice being seen and seeing others.</w:t>
            </w:r>
          </w:p>
        </w:tc>
      </w:tr>
      <w:tr>
        <w:trPr/>
        <w:tc>
          <w:tcPr>
            <w:tcW w:w="1500" w:type="dxa"/>
            <w:shd w:val="clear" w:fill="f2f2f2"/>
            <w:tcMar>
              <w:top w:w="60" w:type="dxa"/>
              <w:left w:w="110" w:type="dxa"/>
              <w:bottom w:w="60" w:type="dxa"/>
              <w:right w:w="110" w:type="dxa"/>
            </w:tcMar>
            <w:vAlign w:val="center"/>
          </w:tcPr>
          <w:p>
            <w:pPr>
              <w:spacing w:before="20" w:after="20"/>
            </w:pPr>
            <w:r>
              <w:rPr>
                <w:rFonts w:ascii="Calibri" w:cs="Calibri" w:eastAsia="Calibri" w:hAnsi="Calibri"/>
                <w:color w:val="1a1a1a"/>
                <w:sz w:val="19"/>
                <w:szCs w:val="19"/>
              </w:rPr>
              <w:t xml:space="preserve">Practice</w:t>
            </w:r>
          </w:p>
        </w:tc>
        <w:tc>
          <w:tcPr>
            <w:tcW w:w="4470" w:type="dxa"/>
            <w:shd w:val="clear" w:fill="f2f2f2"/>
            <w:tcMar>
              <w:top w:w="60" w:type="dxa"/>
              <w:left w:w="110" w:type="dxa"/>
              <w:bottom w:w="60" w:type="dxa"/>
              <w:right w:w="110" w:type="dxa"/>
            </w:tcMar>
            <w:vAlign w:val="center"/>
          </w:tcPr>
          <w:p>
            <w:pPr>
              <w:spacing w:before="20" w:after="20"/>
            </w:pPr>
            <w:r>
              <w:rPr>
                <w:rFonts w:ascii="Calibri" w:cs="Calibri" w:eastAsia="Calibri" w:hAnsi="Calibri"/>
                <w:color w:val="1a1a1a"/>
                <w:sz w:val="19"/>
                <w:szCs w:val="19"/>
              </w:rPr>
              <w:t xml:space="preserve">Teaches the Culture Promise line by line; models Safe, Respectful, Responsible.</w:t>
            </w:r>
          </w:p>
        </w:tc>
        <w:tc>
          <w:tcPr>
            <w:tcW w:w="4470" w:type="dxa"/>
            <w:shd w:val="clear" w:fill="f2f2f2"/>
            <w:tcMar>
              <w:top w:w="60" w:type="dxa"/>
              <w:left w:w="110" w:type="dxa"/>
              <w:bottom w:w="60" w:type="dxa"/>
              <w:right w:w="110" w:type="dxa"/>
            </w:tcMar>
            <w:vAlign w:val="center"/>
          </w:tcPr>
          <w:p>
            <w:pPr>
              <w:spacing w:before="20" w:after="20"/>
            </w:pPr>
            <w:r>
              <w:rPr>
                <w:rFonts w:ascii="Calibri" w:cs="Calibri" w:eastAsia="Calibri" w:hAnsi="Calibri"/>
                <w:color w:val="1a1a1a"/>
                <w:sz w:val="19"/>
                <w:szCs w:val="19"/>
              </w:rPr>
              <w:t xml:space="preserve">Repeat and act out each promise; ask about anything unclear.</w:t>
            </w:r>
          </w:p>
        </w:tc>
      </w:tr>
      <w:tr>
        <w:trPr/>
        <w:tc>
          <w:tcPr>
            <w:tcW w:w="1500" w:type="dxa"/>
            <w:shd w:val="clear" w:fill="ffffff"/>
            <w:tcMar>
              <w:top w:w="60" w:type="dxa"/>
              <w:left w:w="110" w:type="dxa"/>
              <w:bottom w:w="60" w:type="dxa"/>
              <w:right w:w="110" w:type="dxa"/>
            </w:tcMar>
            <w:vAlign w:val="center"/>
          </w:tcPr>
          <w:p>
            <w:pPr>
              <w:spacing w:before="20" w:after="20"/>
            </w:pPr>
            <w:r>
              <w:rPr>
                <w:rFonts w:ascii="Calibri" w:cs="Calibri" w:eastAsia="Calibri" w:hAnsi="Calibri"/>
                <w:color w:val="1a1a1a"/>
                <w:sz w:val="19"/>
                <w:szCs w:val="19"/>
              </w:rPr>
              <w:t xml:space="preserve">Commit</w:t>
            </w:r>
          </w:p>
        </w:tc>
        <w:tc>
          <w:tcPr>
            <w:tcW w:w="4470" w:type="dxa"/>
            <w:shd w:val="clear" w:fill="ffffff"/>
            <w:tcMar>
              <w:top w:w="60" w:type="dxa"/>
              <w:left w:w="110" w:type="dxa"/>
              <w:bottom w:w="60" w:type="dxa"/>
              <w:right w:w="110" w:type="dxa"/>
            </w:tcMar>
            <w:vAlign w:val="center"/>
          </w:tcPr>
          <w:p>
            <w:pPr>
              <w:spacing w:before="20" w:after="20"/>
            </w:pPr>
            <w:r>
              <w:rPr>
                <w:rFonts w:ascii="Calibri" w:cs="Calibri" w:eastAsia="Calibri" w:hAnsi="Calibri"/>
                <w:color w:val="1a1a1a"/>
                <w:sz w:val="19"/>
                <w:szCs w:val="19"/>
              </w:rPr>
              <w:t xml:space="preserve">Asks each student for one visible way they'll live the promise today.</w:t>
            </w:r>
          </w:p>
        </w:tc>
        <w:tc>
          <w:tcPr>
            <w:tcW w:w="4470" w:type="dxa"/>
            <w:shd w:val="clear" w:fill="ffffff"/>
            <w:tcMar>
              <w:top w:w="60" w:type="dxa"/>
              <w:left w:w="110" w:type="dxa"/>
              <w:bottom w:w="60" w:type="dxa"/>
              <w:right w:w="110" w:type="dxa"/>
            </w:tcMar>
            <w:vAlign w:val="center"/>
          </w:tcPr>
          <w:p>
            <w:pPr>
              <w:spacing w:before="20" w:after="20"/>
            </w:pPr>
            <w:r>
              <w:rPr>
                <w:rFonts w:ascii="Calibri" w:cs="Calibri" w:eastAsia="Calibri" w:hAnsi="Calibri"/>
                <w:color w:val="1a1a1a"/>
                <w:sz w:val="19"/>
                <w:szCs w:val="19"/>
              </w:rPr>
              <w:t xml:space="preserve">Name one specific action (e.g., ‘I'll use Line Ready in the hall').</w:t>
            </w:r>
          </w:p>
        </w:tc>
      </w:tr>
      <w:tr>
        <w:trPr/>
        <w:tc>
          <w:tcPr>
            <w:tcW w:w="1500" w:type="dxa"/>
            <w:shd w:val="clear" w:fill="f2f2f2"/>
            <w:tcMar>
              <w:top w:w="60" w:type="dxa"/>
              <w:left w:w="110" w:type="dxa"/>
              <w:bottom w:w="60" w:type="dxa"/>
              <w:right w:w="110" w:type="dxa"/>
            </w:tcMar>
            <w:vAlign w:val="center"/>
          </w:tcPr>
          <w:p>
            <w:pPr>
              <w:spacing w:before="20" w:after="20"/>
            </w:pPr>
            <w:r>
              <w:rPr>
                <w:rFonts w:ascii="Calibri" w:cs="Calibri" w:eastAsia="Calibri" w:hAnsi="Calibri"/>
                <w:color w:val="1a1a1a"/>
                <w:sz w:val="19"/>
                <w:szCs w:val="19"/>
              </w:rPr>
              <w:t xml:space="preserve">Transition</w:t>
            </w:r>
          </w:p>
        </w:tc>
        <w:tc>
          <w:tcPr>
            <w:tcW w:w="4470" w:type="dxa"/>
            <w:shd w:val="clear" w:fill="f2f2f2"/>
            <w:tcMar>
              <w:top w:w="60" w:type="dxa"/>
              <w:left w:w="110" w:type="dxa"/>
              <w:bottom w:w="60" w:type="dxa"/>
              <w:right w:w="110" w:type="dxa"/>
            </w:tcMar>
            <w:vAlign w:val="center"/>
          </w:tcPr>
          <w:p>
            <w:pPr>
              <w:spacing w:before="20" w:after="20"/>
            </w:pPr>
            <w:r>
              <w:rPr>
                <w:rFonts w:ascii="Calibri" w:cs="Calibri" w:eastAsia="Calibri" w:hAnsi="Calibri"/>
                <w:color w:val="1a1a1a"/>
                <w:sz w:val="19"/>
                <w:szCs w:val="19"/>
              </w:rPr>
              <w:t xml:space="preserve">Cues the close signal; narrates the positive as students move (Narrate the Positive).</w:t>
            </w:r>
          </w:p>
        </w:tc>
        <w:tc>
          <w:tcPr>
            <w:tcW w:w="4470" w:type="dxa"/>
            <w:shd w:val="clear" w:fill="f2f2f2"/>
            <w:tcMar>
              <w:top w:w="60" w:type="dxa"/>
              <w:left w:w="110" w:type="dxa"/>
              <w:bottom w:w="60" w:type="dxa"/>
              <w:right w:w="110" w:type="dxa"/>
            </w:tcMar>
            <w:vAlign w:val="center"/>
          </w:tcPr>
          <w:p>
            <w:pPr>
              <w:spacing w:before="20" w:after="20"/>
            </w:pPr>
            <w:r>
              <w:rPr>
                <w:rFonts w:ascii="Calibri" w:cs="Calibri" w:eastAsia="Calibri" w:hAnsi="Calibri"/>
                <w:color w:val="1a1a1a"/>
                <w:sz w:val="19"/>
                <w:szCs w:val="19"/>
              </w:rPr>
              <w:t xml:space="preserve">Move to first learning on the signal — no gap, no narration needed.</w:t>
            </w:r>
          </w:p>
        </w:tc>
      </w:tr>
    </w:tbl>
    <w:p>
      <w:pPr>
        <w:spacing w:before="0" w:after="100"/>
      </w:pPr>
    </w:p>
    <w:p>
      <w:pPr>
        <w:spacing w:before="260" w:after="100"/>
      </w:pPr>
      <w:r>
        <w:rPr>
          <w:rFonts w:ascii="Calibri" w:cs="Calibri" w:eastAsia="Calibri" w:hAnsi="Calibri"/>
          <w:b/>
          <w:bCs/>
          <w:color w:val="b3312c"/>
          <w:sz w:val="20"/>
          <w:szCs w:val="20"/>
        </w:rPr>
        <w:t xml:space="preserve">NON-NEGOTIABLES</w:t>
      </w:r>
    </w:p>
    <w:p>
      <w:pPr>
        <w:numPr>
          <w:ilvl w:val="0"/>
          <w:numId w:val="1"/>
        </w:numPr>
        <w:spacing w:before="40" w:after="40"/>
        <w:ind w:left="480" w:hanging="280"/>
      </w:pPr>
      <w:r>
        <w:rPr>
          <w:rFonts w:ascii="Calibri" w:cs="Calibri" w:eastAsia="Calibri" w:hAnsi="Calibri"/>
          <w:color w:val="1a1a1a"/>
          <w:sz w:val="21"/>
          <w:szCs w:val="21"/>
        </w:rPr>
        <w:t xml:space="preserve">Teach all six moves in order, slowly — do not rush to finish; mastery of the sequence matters more than covering every word.</w:t>
      </w:r>
    </w:p>
    <w:p>
      <w:pPr>
        <w:numPr>
          <w:ilvl w:val="0"/>
          <w:numId w:val="1"/>
        </w:numPr>
        <w:spacing w:before="40" w:after="40"/>
        <w:ind w:left="480" w:hanging="280"/>
      </w:pPr>
      <w:r>
        <w:rPr>
          <w:rFonts w:ascii="Calibri" w:cs="Calibri" w:eastAsia="Calibri" w:hAnsi="Calibri"/>
          <w:color w:val="1a1a1a"/>
          <w:sz w:val="21"/>
          <w:szCs w:val="21"/>
        </w:rPr>
        <w:t xml:space="preserve">The Culture Promise is recited the same way every day after Day 1 — same words, same order.</w:t>
      </w:r>
    </w:p>
    <w:p>
      <w:pPr>
        <w:numPr>
          <w:ilvl w:val="0"/>
          <w:numId w:val="1"/>
        </w:numPr>
        <w:spacing w:before="40" w:after="40"/>
        <w:ind w:left="480" w:hanging="280"/>
      </w:pPr>
      <w:r>
        <w:rPr>
          <w:rFonts w:ascii="Calibri" w:cs="Calibri" w:eastAsia="Calibri" w:hAnsi="Calibri"/>
          <w:color w:val="1a1a1a"/>
          <w:sz w:val="21"/>
          <w:szCs w:val="21"/>
        </w:rPr>
        <w:t xml:space="preserve">The teacher is at the threshold for Regulate, every day, not at the desk (Radar).</w:t>
      </w:r>
    </w:p>
    <w:p>
      <w:pPr>
        <w:spacing w:before="260" w:after="100"/>
      </w:pPr>
      <w:r>
        <w:rPr>
          <w:rFonts w:ascii="Calibri" w:cs="Calibri" w:eastAsia="Calibri" w:hAnsi="Calibri"/>
          <w:b/>
          <w:bCs/>
          <w:color w:val="b3312c"/>
          <w:sz w:val="20"/>
          <w:szCs w:val="20"/>
        </w:rPr>
        <w:t xml:space="preserve">SAMPLE TEACHER LANGUAGE (WTD)</w:t>
      </w:r>
    </w:p>
    <w:p>
      <w:pPr>
        <w:spacing w:before="0" w:after="80"/>
      </w:pPr>
      <w:r>
        <w:rPr>
          <w:rFonts w:ascii="Calibri" w:cs="Calibri" w:eastAsia="Calibri" w:hAnsi="Calibri"/>
          <w:b/>
          <w:bCs/>
          <w:color w:val="1a1a1a"/>
          <w:sz w:val="21"/>
          <w:szCs w:val="21"/>
        </w:rPr>
        <w:t xml:space="preserve">Purpose in one line: </w:t>
      </w:r>
      <w:r>
        <w:rPr>
          <w:rFonts w:ascii="Calibri" w:cs="Calibri" w:eastAsia="Calibri" w:hAnsi="Calibri"/>
          <w:color w:val="1a1a1a"/>
          <w:sz w:val="21"/>
          <w:szCs w:val="21"/>
        </w:rPr>
        <w:t xml:space="preserve">“For the next 45 minutes we're learning the exact routine we'll run every single morning.”</w:t>
      </w:r>
    </w:p>
    <w:p>
      <w:pPr>
        <w:spacing w:before="0" w:after="80"/>
      </w:pPr>
      <w:r>
        <w:rPr>
          <w:rFonts w:ascii="Calibri" w:cs="Calibri" w:eastAsia="Calibri" w:hAnsi="Calibri"/>
          <w:b/>
          <w:bCs/>
          <w:color w:val="1a1a1a"/>
          <w:sz w:val="21"/>
          <w:szCs w:val="21"/>
        </w:rPr>
        <w:t xml:space="preserve">Commit prompt: </w:t>
      </w:r>
      <w:r>
        <w:rPr>
          <w:rFonts w:ascii="Calibri" w:cs="Calibri" w:eastAsia="Calibri" w:hAnsi="Calibri"/>
          <w:color w:val="1a1a1a"/>
          <w:sz w:val="21"/>
          <w:szCs w:val="21"/>
        </w:rPr>
        <w:t xml:space="preserve">“Give me one specific thing you'll do today to keep us Safe, Respectful, and Responsible.”</w:t>
      </w:r>
    </w:p>
    <w:p>
      <w:pPr>
        <w:pBdr>
          <w:top w:val="single" w:sz="4" w:space="4" w:color="d9d9d9"/>
        </w:pBdr>
        <w:spacing w:before="200" w:after="120"/>
      </w:pPr>
      <w:r>
        <w:rPr>
          <w:rFonts w:ascii="Calibri" w:cs="Calibri" w:eastAsia="Calibri" w:hAnsi="Calibri"/>
          <w:i/>
          <w:iCs/>
          <w:color w:val="6e6e6e"/>
          <w:sz w:val="16"/>
          <w:szCs w:val="16"/>
        </w:rPr>
        <w:t xml:space="preserve">TLAC: Threshold, Strong Voice · GBF: Radar / Be Seen Looking, Narrate the Positive · Ties to Procedural Constancy</w:t>
      </w:r>
    </w:p>
    <w:p>
      <w:r>
        <w:br w:type="page"/>
      </w:r>
    </w:p>
    <w:p>
      <w:pPr>
        <w:pBdr>
          <w:bottom w:val="single" w:sz="12" w:space="4" w:color="b3312c"/>
        </w:pBdr>
        <w:spacing w:before="0" w:after="60"/>
      </w:pPr>
      <w:r>
        <w:rPr>
          <w:rFonts w:ascii="Calibri" w:cs="Calibri" w:eastAsia="Calibri" w:hAnsi="Calibri"/>
          <w:b/>
          <w:bCs/>
          <w:color w:val="3f3f3f"/>
          <w:sz w:val="40"/>
          <w:szCs w:val="40"/>
        </w:rPr>
        <w:t xml:space="preserve">Teaching Full-System Launch: Sample Script</w:t>
      </w:r>
    </w:p>
    <w:p>
      <w:pPr>
        <w:spacing w:after="140"/>
      </w:pPr>
      <w:r>
        <w:rPr>
          <w:rFonts w:ascii="Calibri" w:cs="Calibri" w:eastAsia="Calibri" w:hAnsi="Calibri"/>
          <w:color w:val="1a1a1a"/>
          <w:sz w:val="21"/>
          <w:szCs w:val="21"/>
        </w:rPr>
        <w:t xml:space="preserve">This is a sample script. It's meant to be taught, not read verbatim — add your own school's language, examples, and personality before you use it. It teaches the full six-move block and the Culture Promise inside the protected Morning Meeting block; adjust pacing for your grade band.</w:t>
      </w:r>
    </w:p>
    <w:p>
      <w:pPr>
        <w:spacing w:before="160" w:after="60"/>
      </w:pPr>
      <w:r>
        <w:rPr>
          <w:rFonts w:ascii="Calibri" w:cs="Calibri" w:eastAsia="Calibri" w:hAnsi="Calibri"/>
          <w:b/>
          <w:bCs/>
          <w:color w:val="3f3f3f"/>
          <w:sz w:val="22"/>
          <w:szCs w:val="22"/>
        </w:rPr>
        <w:t xml:space="preserve">Day 1 Focus: Introducing Full-System Launch (≈ 45 minutes)</w:t>
      </w:r>
    </w:p>
    <w:p>
      <w:pPr>
        <w:spacing w:before="160" w:after="60"/>
      </w:pPr>
      <w:r>
        <w:rPr>
          <w:rFonts w:ascii="Calibri" w:cs="Calibri" w:eastAsia="Calibri" w:hAnsi="Calibri"/>
          <w:b/>
          <w:bCs/>
          <w:color w:val="3f3f3f"/>
          <w:sz w:val="22"/>
          <w:szCs w:val="22"/>
        </w:rPr>
        <w:t xml:space="preserve">1. Hook &amp; Purpose (5 min)</w:t>
      </w:r>
    </w:p>
    <w:p>
      <w:pPr>
        <w:spacing w:before="0" w:after="100"/>
      </w:pPr>
      <w:r>
        <w:rPr>
          <w:rFonts w:ascii="Calibri" w:cs="Calibri" w:eastAsia="Calibri" w:hAnsi="Calibri"/>
          <w:b/>
          <w:bCs/>
          <w:color w:val="1a1a1a"/>
          <w:sz w:val="21"/>
          <w:szCs w:val="21"/>
        </w:rPr>
        <w:t xml:space="preserve">SAY: </w:t>
      </w:r>
      <w:r>
        <w:rPr>
          <w:rFonts w:ascii="Calibri" w:cs="Calibri" w:eastAsia="Calibri" w:hAnsi="Calibri"/>
          <w:color w:val="1a1a1a"/>
          <w:sz w:val="21"/>
          <w:szCs w:val="21"/>
        </w:rPr>
        <w:t xml:space="preserve">“Every morning this year starts the same way — six moves, in the same order, so your body always knows what's next. Today we learn all six.”</w:t>
      </w:r>
    </w:p>
    <w:p>
      <w:pPr>
        <w:spacing w:before="0" w:after="100"/>
      </w:pPr>
      <w:r>
        <w:rPr>
          <w:rFonts w:ascii="Calibri" w:cs="Calibri" w:eastAsia="Calibri" w:hAnsi="Calibri"/>
          <w:b/>
          <w:bCs/>
          <w:color w:val="1a1a1a"/>
          <w:sz w:val="21"/>
          <w:szCs w:val="21"/>
        </w:rPr>
        <w:t xml:space="preserve">DO: </w:t>
      </w:r>
      <w:r>
        <w:rPr>
          <w:rFonts w:ascii="Calibri" w:cs="Calibri" w:eastAsia="Calibri" w:hAnsi="Calibri"/>
          <w:color w:val="1a1a1a"/>
          <w:sz w:val="21"/>
          <w:szCs w:val="21"/>
        </w:rPr>
        <w:t xml:space="preserve">Gather students in the meeting space; post the six move-names where everyone can see them.</w:t>
      </w:r>
    </w:p>
    <w:p>
      <w:pPr>
        <w:spacing w:before="160" w:after="60"/>
      </w:pPr>
      <w:r>
        <w:rPr>
          <w:rFonts w:ascii="Calibri" w:cs="Calibri" w:eastAsia="Calibri" w:hAnsi="Calibri"/>
          <w:b/>
          <w:bCs/>
          <w:color w:val="3f3f3f"/>
          <w:sz w:val="22"/>
          <w:szCs w:val="22"/>
        </w:rPr>
        <w:t xml:space="preserve">2. Model the Six Moves (12 min)</w:t>
      </w:r>
    </w:p>
    <w:p>
      <w:pPr>
        <w:spacing w:before="0" w:after="100"/>
      </w:pPr>
      <w:r>
        <w:rPr>
          <w:rFonts w:ascii="Calibri" w:cs="Calibri" w:eastAsia="Calibri" w:hAnsi="Calibri"/>
          <w:b/>
          <w:bCs/>
          <w:color w:val="1a1a1a"/>
          <w:sz w:val="21"/>
          <w:szCs w:val="21"/>
        </w:rPr>
        <w:t xml:space="preserve">SAY: </w:t>
      </w:r>
      <w:r>
        <w:rPr>
          <w:rFonts w:ascii="Calibri" w:cs="Calibri" w:eastAsia="Calibri" w:hAnsi="Calibri"/>
          <w:color w:val="1a1a1a"/>
          <w:sz w:val="21"/>
          <w:szCs w:val="21"/>
        </w:rPr>
        <w:t xml:space="preserve">“Watch me walk through all six: Regulate, Orient, Connect, Practice, Commit, Transition. I'll name each one as I do it.”</w:t>
      </w:r>
    </w:p>
    <w:p>
      <w:pPr>
        <w:spacing w:before="0" w:after="100"/>
      </w:pPr>
      <w:r>
        <w:rPr>
          <w:rFonts w:ascii="Calibri" w:cs="Calibri" w:eastAsia="Calibri" w:hAnsi="Calibri"/>
          <w:b/>
          <w:bCs/>
          <w:color w:val="1a1a1a"/>
          <w:sz w:val="21"/>
          <w:szCs w:val="21"/>
        </w:rPr>
        <w:t xml:space="preserve">DO: </w:t>
      </w:r>
      <w:r>
        <w:rPr>
          <w:rFonts w:ascii="Calibri" w:cs="Calibri" w:eastAsia="Calibri" w:hAnsi="Calibri"/>
          <w:color w:val="1a1a1a"/>
          <w:sz w:val="21"/>
          <w:szCs w:val="21"/>
        </w:rPr>
        <w:t xml:space="preserve">Walk the full block yourself at half speed, naming each move aloud as you demonstrate it.</w:t>
      </w:r>
    </w:p>
    <w:p>
      <w:pPr>
        <w:spacing w:before="160" w:after="60"/>
      </w:pPr>
      <w:r>
        <w:rPr>
          <w:rFonts w:ascii="Calibri" w:cs="Calibri" w:eastAsia="Calibri" w:hAnsi="Calibri"/>
          <w:b/>
          <w:bCs/>
          <w:color w:val="3f3f3f"/>
          <w:sz w:val="22"/>
          <w:szCs w:val="22"/>
        </w:rPr>
        <w:t xml:space="preserve">3. Teach the Culture Promise (10 min)</w:t>
      </w:r>
    </w:p>
    <w:p>
      <w:pPr>
        <w:spacing w:before="0" w:after="100"/>
      </w:pPr>
      <w:r>
        <w:rPr>
          <w:rFonts w:ascii="Calibri" w:cs="Calibri" w:eastAsia="Calibri" w:hAnsi="Calibri"/>
          <w:b/>
          <w:bCs/>
          <w:color w:val="1a1a1a"/>
          <w:sz w:val="21"/>
          <w:szCs w:val="21"/>
        </w:rPr>
        <w:t xml:space="preserve">SAY: </w:t>
      </w:r>
      <w:r>
        <w:rPr>
          <w:rFonts w:ascii="Calibri" w:cs="Calibri" w:eastAsia="Calibri" w:hAnsi="Calibri"/>
          <w:color w:val="1a1a1a"/>
          <w:sz w:val="21"/>
          <w:szCs w:val="21"/>
        </w:rPr>
        <w:t xml:space="preserve">“Our promise is three words: Safe, Respectful, Responsible. Here's what each one looks like in this building.”</w:t>
      </w:r>
    </w:p>
    <w:p>
      <w:pPr>
        <w:spacing w:before="0" w:after="100"/>
      </w:pPr>
      <w:r>
        <w:rPr>
          <w:rFonts w:ascii="Calibri" w:cs="Calibri" w:eastAsia="Calibri" w:hAnsi="Calibri"/>
          <w:b/>
          <w:bCs/>
          <w:color w:val="1a1a1a"/>
          <w:sz w:val="21"/>
          <w:szCs w:val="21"/>
        </w:rPr>
        <w:t xml:space="preserve">DO: </w:t>
      </w:r>
      <w:r>
        <w:rPr>
          <w:rFonts w:ascii="Calibri" w:cs="Calibri" w:eastAsia="Calibri" w:hAnsi="Calibri"/>
          <w:color w:val="1a1a1a"/>
          <w:sz w:val="21"/>
          <w:szCs w:val="21"/>
        </w:rPr>
        <w:t xml:space="preserve">Teach each promise word with a concrete example and a non-example; have students echo and act out each one.</w:t>
      </w:r>
    </w:p>
    <w:p>
      <w:pPr>
        <w:spacing w:before="160" w:after="60"/>
      </w:pPr>
      <w:r>
        <w:rPr>
          <w:rFonts w:ascii="Calibri" w:cs="Calibri" w:eastAsia="Calibri" w:hAnsi="Calibri"/>
          <w:b/>
          <w:bCs/>
          <w:color w:val="3f3f3f"/>
          <w:sz w:val="22"/>
          <w:szCs w:val="22"/>
        </w:rPr>
        <w:t xml:space="preserve">4. Practice Cold (8 min)</w:t>
      </w:r>
    </w:p>
    <w:p>
      <w:pPr>
        <w:spacing w:before="0" w:after="100"/>
      </w:pPr>
      <w:r>
        <w:rPr>
          <w:rFonts w:ascii="Calibri" w:cs="Calibri" w:eastAsia="Calibri" w:hAnsi="Calibri"/>
          <w:b/>
          <w:bCs/>
          <w:color w:val="1a1a1a"/>
          <w:sz w:val="21"/>
          <w:szCs w:val="21"/>
        </w:rPr>
        <w:t xml:space="preserve">SAY: </w:t>
      </w:r>
      <w:r>
        <w:rPr>
          <w:rFonts w:ascii="Calibri" w:cs="Calibri" w:eastAsia="Calibri" w:hAnsi="Calibri"/>
          <w:color w:val="1a1a1a"/>
          <w:sz w:val="21"/>
          <w:szCs w:val="21"/>
        </w:rPr>
        <w:t xml:space="preserve">“Let's run the six moves once, slow, with nothing else going on — just so your bodies learn the order.”</w:t>
      </w:r>
    </w:p>
    <w:p>
      <w:pPr>
        <w:spacing w:before="0" w:after="100"/>
      </w:pPr>
      <w:r>
        <w:rPr>
          <w:rFonts w:ascii="Calibri" w:cs="Calibri" w:eastAsia="Calibri" w:hAnsi="Calibri"/>
          <w:b/>
          <w:bCs/>
          <w:color w:val="1a1a1a"/>
          <w:sz w:val="21"/>
          <w:szCs w:val="21"/>
        </w:rPr>
        <w:t xml:space="preserve">DO: </w:t>
      </w:r>
      <w:r>
        <w:rPr>
          <w:rFonts w:ascii="Calibri" w:cs="Calibri" w:eastAsia="Calibri" w:hAnsi="Calibri"/>
          <w:color w:val="1a1a1a"/>
          <w:sz w:val="21"/>
          <w:szCs w:val="21"/>
        </w:rPr>
        <w:t xml:space="preserve">Run the block once, uninterrupted, narrating specifically and positively who is doing each move well.</w:t>
      </w:r>
    </w:p>
    <w:p>
      <w:pPr>
        <w:spacing w:before="160" w:after="60"/>
      </w:pPr>
      <w:r>
        <w:rPr>
          <w:rFonts w:ascii="Calibri" w:cs="Calibri" w:eastAsia="Calibri" w:hAnsi="Calibri"/>
          <w:b/>
          <w:bCs/>
          <w:color w:val="3f3f3f"/>
          <w:sz w:val="22"/>
          <w:szCs w:val="22"/>
        </w:rPr>
        <w:t xml:space="preserve">5. Practice Full Speed (10 min)</w:t>
      </w:r>
    </w:p>
    <w:p>
      <w:pPr>
        <w:spacing w:before="0" w:after="100"/>
      </w:pPr>
      <w:r>
        <w:rPr>
          <w:rFonts w:ascii="Calibri" w:cs="Calibri" w:eastAsia="Calibri" w:hAnsi="Calibri"/>
          <w:b/>
          <w:bCs/>
          <w:color w:val="1a1a1a"/>
          <w:sz w:val="21"/>
          <w:szCs w:val="21"/>
        </w:rPr>
        <w:t xml:space="preserve">SAY: </w:t>
      </w:r>
      <w:r>
        <w:rPr>
          <w:rFonts w:ascii="Calibri" w:cs="Calibri" w:eastAsia="Calibri" w:hAnsi="Calibri"/>
          <w:color w:val="1a1a1a"/>
          <w:sz w:val="21"/>
          <w:szCs w:val="21"/>
        </w:rPr>
        <w:t xml:space="preserve">“Now for real — like an actual morning. I'll greet you at the threshold and I want to see all six moves without me prompting.”</w:t>
      </w:r>
    </w:p>
    <w:p>
      <w:pPr>
        <w:spacing w:before="0" w:after="100"/>
      </w:pPr>
      <w:r>
        <w:rPr>
          <w:rFonts w:ascii="Calibri" w:cs="Calibri" w:eastAsia="Calibri" w:hAnsi="Calibri"/>
          <w:b/>
          <w:bCs/>
          <w:color w:val="1a1a1a"/>
          <w:sz w:val="21"/>
          <w:szCs w:val="21"/>
        </w:rPr>
        <w:t xml:space="preserve">DO: </w:t>
      </w:r>
      <w:r>
        <w:rPr>
          <w:rFonts w:ascii="Calibri" w:cs="Calibri" w:eastAsia="Calibri" w:hAnsi="Calibri"/>
          <w:color w:val="1a1a1a"/>
          <w:sz w:val="21"/>
          <w:szCs w:val="21"/>
        </w:rPr>
        <w:t xml:space="preserve">Run the full block at natural pace; if any move breaks down, reset calmly and run it again rather than moving on.</w:t>
      </w:r>
    </w:p>
    <w:p>
      <w:pPr>
        <w:spacing w:before="160" w:after="60"/>
      </w:pPr>
      <w:r>
        <w:rPr>
          <w:rFonts w:ascii="Calibri" w:cs="Calibri" w:eastAsia="Calibri" w:hAnsi="Calibri"/>
          <w:b/>
          <w:bCs/>
          <w:color w:val="3f3f3f"/>
          <w:sz w:val="22"/>
          <w:szCs w:val="22"/>
        </w:rPr>
        <w:t xml:space="preserve">Reinforcing the Routine (following days)</w:t>
      </w:r>
    </w:p>
    <w:p>
      <w:pPr>
        <w:numPr>
          <w:ilvl w:val="0"/>
          <w:numId w:val="1"/>
        </w:numPr>
        <w:spacing w:before="40" w:after="40"/>
        <w:ind w:left="480" w:hanging="280"/>
      </w:pPr>
      <w:r>
        <w:rPr>
          <w:rFonts w:ascii="Calibri" w:cs="Calibri" w:eastAsia="Calibri" w:hAnsi="Calibri"/>
          <w:color w:val="1a1a1a"/>
          <w:sz w:val="21"/>
          <w:szCs w:val="21"/>
        </w:rPr>
        <w:t xml:space="preserve">Run the six moves in the same order every morning — the order never changes, only the emphasis and the time.</w:t>
      </w:r>
    </w:p>
    <w:p>
      <w:pPr>
        <w:numPr>
          <w:ilvl w:val="0"/>
          <w:numId w:val="1"/>
        </w:numPr>
        <w:spacing w:before="40" w:after="40"/>
        <w:ind w:left="480" w:hanging="280"/>
      </w:pPr>
      <w:r>
        <w:rPr>
          <w:rFonts w:ascii="Calibri" w:cs="Calibri" w:eastAsia="Calibri" w:hAnsi="Calibri"/>
          <w:color w:val="1a1a1a"/>
          <w:sz w:val="21"/>
          <w:szCs w:val="21"/>
        </w:rPr>
        <w:t xml:space="preserve">Narrate the positive specifically when a student nails a move — this is the routine, not a one-time compliment.</w:t>
      </w:r>
    </w:p>
    <w:p>
      <w:pPr>
        <w:numPr>
          <w:ilvl w:val="0"/>
          <w:numId w:val="1"/>
        </w:numPr>
        <w:spacing w:before="40" w:after="40"/>
        <w:ind w:left="480" w:hanging="280"/>
      </w:pPr>
      <w:r>
        <w:rPr>
          <w:rFonts w:ascii="Calibri" w:cs="Calibri" w:eastAsia="Calibri" w:hAnsi="Calibri"/>
          <w:color w:val="1a1a1a"/>
          <w:sz w:val="21"/>
          <w:szCs w:val="21"/>
        </w:rPr>
        <w:t xml:space="preserve">When a move breaks down, reset calmly and run it again rather than letting it slide.</w:t>
      </w:r>
    </w:p>
    <w:p>
      <w:pPr>
        <w:numPr>
          <w:ilvl w:val="0"/>
          <w:numId w:val="1"/>
        </w:numPr>
        <w:spacing w:before="40" w:after="40"/>
        <w:ind w:left="480" w:hanging="280"/>
      </w:pPr>
      <w:r>
        <w:rPr>
          <w:rFonts w:ascii="Calibri" w:cs="Calibri" w:eastAsia="Calibri" w:hAnsi="Calibri"/>
          <w:color w:val="1a1a1a"/>
          <w:sz w:val="21"/>
          <w:szCs w:val="21"/>
        </w:rPr>
        <w:t xml:space="preserve">Hold the Morning Meeting scaffold times; protect the 8:00 start every day.</w:t>
      </w:r>
    </w:p>
    <w:p>
      <w:pPr>
        <w:numPr>
          <w:ilvl w:val="0"/>
          <w:numId w:val="1"/>
        </w:numPr>
        <w:spacing w:before="40" w:after="40"/>
        <w:ind w:left="480" w:hanging="280"/>
      </w:pPr>
      <w:r>
        <w:rPr>
          <w:rFonts w:ascii="Calibri" w:cs="Calibri" w:eastAsia="Calibri" w:hAnsi="Calibri"/>
          <w:color w:val="1a1a1a"/>
          <w:sz w:val="21"/>
          <w:szCs w:val="21"/>
        </w:rPr>
        <w:t xml:space="preserve">By the target day, expect students to run the block with minimal prompting.</w:t>
      </w:r>
    </w:p>
    <w:p>
      <w:pPr>
        <w:spacing w:before="60" w:after="120"/>
      </w:pPr>
      <w:r>
        <w:rPr>
          <w:rFonts w:ascii="Calibri" w:cs="Calibri" w:eastAsia="Calibri" w:hAnsi="Calibri"/>
          <w:color w:val="1a1a1a"/>
          <w:sz w:val="21"/>
          <w:szCs w:val="21"/>
        </w:rPr>
        <w:t xml:space="preserve">Personalize before you teach it: use your own students' names and the cues they already know.</w:t>
      </w:r>
    </w:p>
    <w:sectPr>
      <w:headerReference r:id="rId6" w:type="default"/>
      <w:footerReference r:id="rId7" w:type="default"/>
      <w:pgSz w:h="15840" w:w="12240" w:orient="portrait"/>
      <w:pgMar w:bottom="900" w:top="900" w:left="900" w:right="900" w:header="708" w:footer="708" w:gut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jc w:val="center"/>
      <w:rPr/>
    </w:pPr>
    <w:r w:rsidDel="00000000" w:rsidR="00000000" w:rsidRPr="00000000">
      <w:rPr>
        <w:rFonts w:ascii="Calibri" w:cs="Calibri" w:eastAsia="Calibri" w:hAnsi="Calibri"/>
        <w:color w:val="6e6e6e"/>
        <w:sz w:val="16"/>
        <w:szCs w:val="16"/>
        <w:rtl w:val="0"/>
      </w:rPr>
      <w:t xml:space="preserve">Matchbook Learning · </w:t>
    </w:r>
    <w:r w:rsidDel="00000000" w:rsidR="00000000" w:rsidRPr="00000000">
      <w:rPr>
        <w:rFonts w:ascii="Calibri" w:cs="Calibri" w:eastAsia="Calibri" w:hAnsi="Calibri"/>
        <w:color w:val="6e6e6e"/>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2">
    <w:pPr>
      <w:pBdr>
        <w:bottom w:color="d9d9d9" w:space="4" w:sz="4" w:val="single"/>
      </w:pBdr>
      <w:rPr/>
    </w:pPr>
    <w:r w:rsidDel="00000000" w:rsidR="00000000" w:rsidRPr="00000000">
      <w:rPr>
        <w:rFonts w:ascii="Calibri" w:cs="Calibri" w:eastAsia="Calibri" w:hAnsi="Calibri"/>
        <w:b w:val="1"/>
        <w:bCs w:val="1"/>
        <w:color w:val="6e6e6e"/>
        <w:sz w:val="16"/>
        <w:szCs w:val="16"/>
        <w:rtl w:val="0"/>
      </w:rPr>
      <w:t xml:space="preserve">MATCHBOOK LEARNING K–8 · CULTURE CAMP</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