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body>
    <w:p>
      <w:pPr>
        <w:pBdr>
          <w:bottom w:val="single" w:sz="12" w:space="4" w:color="b3312c"/>
        </w:pBdr>
        <w:spacing w:before="0" w:after="60"/>
      </w:pPr>
      <w:r>
        <w:rPr>
          <w:rFonts w:ascii="Calibri" w:cs="Calibri" w:eastAsia="Calibri" w:hAnsi="Calibri"/>
          <w:b/>
          <w:bCs/>
          <w:color w:val="3f3f3f"/>
          <w:sz w:val="40"/>
          <w:szCs w:val="40"/>
        </w:rPr>
        <w:t xml:space="preserve">Voice Tone and First Student Roles</w:t>
      </w:r>
    </w:p>
    <w:p>
      <w:pPr>
        <w:spacing w:before="0" w:after="20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Student Handout · Culture Camp Day 4 · Matchbook Learning K–8</w:t>
      </w:r>
    </w:p>
    <w:p>
      <w:pPr>
        <w:spacing w:before="0" w:after="140"/>
      </w:pPr>
      <w:r>
        <w:rPr>
          <w:rFonts w:ascii="Calibri" w:cs="Calibri" w:eastAsia="Calibri" w:hAnsi="Calibri"/>
          <w:i/>
          <w:iCs/>
          <w:color w:val="6e6e6e"/>
          <w:sz w:val="19"/>
          <w:szCs w:val="19"/>
        </w:rPr>
        <w:t xml:space="preserve">40 minutes · Starts 8:00 · Students practice respectful tone and begin taking supported ownership of small culture roles.</w:t>
      </w:r>
    </w:p>
    <w:p>
      <w:pPr>
        <w:spacing w:after="1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Our Morning Meeting runs the same six moves every day. Here's my part today.</w:t>
      </w:r>
    </w:p>
    <w:p>
      <w:pPr>
        <w:spacing w:before="260" w:after="100"/>
      </w:pPr>
      <w:r>
        <w:rPr>
          <w:rFonts w:ascii="Calibri" w:cs="Calibri" w:eastAsia="Calibri" w:hAnsi="Calibri"/>
          <w:b/>
          <w:bCs/>
          <w:color w:val="b3312c"/>
          <w:sz w:val="20"/>
          <w:szCs w:val="20"/>
        </w:rPr>
        <w:t xml:space="preserve">MY SIX MOVES TODAY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Regulate.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Enter and settle, ready to practice tone.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Orient.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Know the goal: how we say it, and who leads what.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Connect.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Practice a respectful tone with a partner; hear the difference.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Practice.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Try a role with adult coaching; use a respectful tone in it.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5.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Commit.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Commit to one (e.g., ‘I'll use a calm tone when I disagree').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6.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Transition.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Move on the signal; role-holders reset materials.</w:t>
      </w:r>
    </w:p>
    <w:p>
      <w:pPr>
        <w:spacing w:before="260" w:after="100"/>
      </w:pPr>
      <w:r>
        <w:rPr>
          <w:rFonts w:ascii="Calibri" w:cs="Calibri" w:eastAsia="Calibri" w:hAnsi="Calibri"/>
          <w:b/>
          <w:bCs/>
          <w:color w:val="b3312c"/>
          <w:sz w:val="20"/>
          <w:szCs w:val="20"/>
        </w:rPr>
        <w:t xml:space="preserve">MY CUES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Tone contrast: “Same words, two tones — which one keeps us respectful?”</w:t>
      </w:r>
    </w:p>
    <w:p>
      <w:pPr>
        <w:spacing w:after="1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Role handoff: “You're our signal-giver today — I'll coach you through it.”</w:t>
      </w:r>
    </w:p>
    <w:tbl>
      <w:tblPr>
        <w:tblW w:w="10440" w:type="dxa"/>
        <w:tblBorders>
          <w:top w:val="single" w:sz="4" w:color="d9d9d9"/>
          <w:left w:val="single" w:sz="24" w:color="b3312c"/>
          <w:bottom w:val="single" w:sz="4" w:color="d9d9d9"/>
          <w:right w:val="single" w:sz="4" w:color="d9d9d9"/>
          <w:insideH w:val="nil"/>
          <w:insideV w:val="nil"/>
        </w:tblBorders>
        <w:tblCellMar>
          <w:left w:w="150" w:type="dxa"/>
          <w:right w:w="150" w:type="dxa"/>
        </w:tblCellMar>
      </w:tblPr>
      <w:tblGrid>
        <w:gridCol w:w="10440"/>
      </w:tblGrid>
      <w:tr>
        <w:trPr/>
        <w:tc>
          <w:tcPr>
            <w:tcW w:w="10440" w:type="dxa"/>
            <w:tcBorders>
              <w:top w:val="single" w:sz="4" w:color="d9d9d9"/>
              <w:left w:val="single" w:sz="24" w:color="b3312c"/>
              <w:bottom w:val="single" w:sz="4" w:color="d9d9d9"/>
              <w:right w:val="single" w:sz="4" w:color="d9d9d9"/>
            </w:tcBorders>
            <w:shd w:val="clear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b3312c"/>
                <w:sz w:val="19"/>
                <w:szCs w:val="19"/>
              </w:rPr>
              <w:t xml:space="preserve">I'VE GOT IT WHEN… 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 can run all six moves — Regulate, Orient, Connect, Practice, Commit, Transition — with my class, and I live one specific Culture Promise commitment today.</w:t>
            </w:r>
          </w:p>
        </w:tc>
      </w:tr>
    </w:tbl>
    <w:p>
      <w:pPr>
        <w:spacing w:before="0" w:after="80"/>
      </w:pPr>
    </w:p>
    <w:p>
      <w:pPr>
        <w:pBdr>
          <w:top w:val="single" w:sz="4" w:space="4" w:color="d9d9d9"/>
        </w:pBdr>
        <w:spacing w:before="200" w:after="120"/>
      </w:pPr>
      <w:r>
        <w:rPr>
          <w:rFonts w:ascii="Calibri" w:cs="Calibri" w:eastAsia="Calibri" w:hAnsi="Calibri"/>
          <w:i/>
          <w:iCs/>
          <w:color w:val="6e6e6e"/>
          <w:sz w:val="16"/>
          <w:szCs w:val="16"/>
        </w:rPr>
        <w:t xml:space="preserve">Safe · Respectful · Responsible  ·  Culture is practiced before pressure.</w:t>
      </w:r>
    </w:p>
    <w:sectPr>
      <w:headerReference r:id="rId6" w:type="default"/>
      <w:footerReference r:id="rId7" w:type="default"/>
      <w:pgSz w:h="15840" w:w="12240" w:orient="portrait"/>
      <w:pgMar w:bottom="900" w:top="900" w:left="900" w:right="900" w:header="708" w:footer="708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3">
    <w:pPr>
      <w:jc w:val="center"/>
      <w:rPr/>
    </w:pPr>
    <w:r w:rsidDel="00000000" w:rsidR="00000000" w:rsidRPr="00000000">
      <w:rPr>
        <w:rFonts w:ascii="Calibri" w:cs="Calibri" w:eastAsia="Calibri" w:hAnsi="Calibri"/>
        <w:color w:val="6e6e6e"/>
        <w:sz w:val="16"/>
        <w:szCs w:val="16"/>
        <w:rtl w:val="0"/>
      </w:rPr>
      <w:t xml:space="preserve">Matchbook Learning · </w:t>
    </w:r>
    <w:r w:rsidDel="00000000" w:rsidR="00000000" w:rsidRPr="00000000">
      <w:rPr>
        <w:rFonts w:ascii="Calibri" w:cs="Calibri" w:eastAsia="Calibri" w:hAnsi="Calibri"/>
        <w:color w:val="6e6e6e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2">
    <w:pPr>
      <w:pBdr>
        <w:bottom w:color="d9d9d9" w:space="4" w:sz="4" w:val="single"/>
      </w:pBdr>
      <w:rPr/>
    </w:pPr>
    <w:r w:rsidDel="00000000" w:rsidR="00000000" w:rsidRPr="00000000">
      <w:rPr>
        <w:rFonts w:ascii="Calibri" w:cs="Calibri" w:eastAsia="Calibri" w:hAnsi="Calibri"/>
        <w:b w:val="1"/>
        <w:bCs w:val="1"/>
        <w:color w:val="6e6e6e"/>
        <w:sz w:val="16"/>
        <w:szCs w:val="16"/>
        <w:rtl w:val="0"/>
      </w:rPr>
      <w:t xml:space="preserve">MATCHBOOK LEARNING K–8 · STUDENT HANDOUT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