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Narrow" w:hAnsi="Arial Narrow"/>
          <w:b/>
          <w:i w:val="0"/>
          <w:color w:val="E21C24"/>
          <w:sz w:val="21"/>
        </w:rPr>
        <w:t>MATCHBOOK CULTURE CAMP  ·  DAY 1  ·  TEACHER FACILITATION GUIDE</w:t>
      </w:r>
    </w:p>
    <w:p>
      <w:pPr>
        <w:pBdr>
          <w:bottom w:val="single" w:sz="18" w:space="2" w:color="E21C24"/>
        </w:pBdr>
      </w:pPr>
      <w:r>
        <w:rPr>
          <w:rFonts w:ascii="Arial Narrow" w:hAnsi="Arial Narrow"/>
          <w:b/>
          <w:i w:val="0"/>
          <w:color w:val="1A1A1A"/>
          <w:sz w:val="48"/>
        </w:rPr>
        <w:t>ADULT LOOK-FORS, EXPLAINED TO STUDENTS</w:t>
      </w:r>
    </w:p>
    <w:p/>
    <w:p>
      <w:r>
        <w:rPr>
          <w:rFonts w:ascii="Arial Narrow" w:hAnsi="Arial Narrow"/>
          <w:b/>
          <w:i w:val="0"/>
          <w:color w:val="1A1A1A"/>
          <w:sz w:val="26"/>
        </w:rPr>
        <w:t>SESSION IDENTITY</w:t>
      </w:r>
    </w:p>
    <w:p>
      <w:pPr>
        <w:pStyle w:val="ListBullet"/>
      </w:pPr>
      <w:r>
        <w:rPr>
          <w:rFonts w:ascii="Calibri" w:hAnsi="Calibri"/>
          <w:b w:val="0"/>
          <w:i w:val="0"/>
          <w:color w:val="4A4A4A"/>
          <w:sz w:val="22"/>
        </w:rPr>
        <w:t>Audience: Students and teachers</w:t>
      </w:r>
    </w:p>
    <w:p>
      <w:pPr>
        <w:pStyle w:val="ListBullet"/>
      </w:pPr>
      <w:r>
        <w:rPr>
          <w:rFonts w:ascii="Calibri" w:hAnsi="Calibri"/>
          <w:b w:val="0"/>
          <w:i w:val="0"/>
          <w:color w:val="4A4A4A"/>
          <w:sz w:val="22"/>
        </w:rPr>
        <w:t>Runtime: 20 minutes</w:t>
      </w:r>
    </w:p>
    <w:p>
      <w:pPr>
        <w:pStyle w:val="ListBullet"/>
      </w:pPr>
      <w:r>
        <w:rPr>
          <w:rFonts w:ascii="Calibri" w:hAnsi="Calibri"/>
          <w:b w:val="0"/>
          <w:i w:val="0"/>
          <w:color w:val="4A4A4A"/>
          <w:sz w:val="22"/>
        </w:rPr>
        <w:t>Culture Camp Day: Culture Camp Day 1</w:t>
      </w:r>
    </w:p>
    <w:p>
      <w:pPr>
        <w:pStyle w:val="ListBullet"/>
      </w:pPr>
      <w:r>
        <w:rPr>
          <w:rFonts w:ascii="Calibri" w:hAnsi="Calibri"/>
          <w:b w:val="0"/>
          <w:i w:val="0"/>
          <w:color w:val="4A4A4A"/>
          <w:sz w:val="22"/>
        </w:rPr>
        <w:t>Track: Evidence and Sustainability</w:t>
      </w:r>
    </w:p>
    <w:p>
      <w:r>
        <w:rPr>
          <w:rFonts w:ascii="Arial Narrow" w:hAnsi="Arial Narrow"/>
          <w:b/>
          <w:i w:val="0"/>
          <w:color w:val="E21C24"/>
          <w:sz w:val="26"/>
        </w:rPr>
        <w:t>TEACHER PURPOSE</w:t>
      </w:r>
    </w:p>
    <w:p>
      <w:r>
        <w:rPr>
          <w:rFonts w:ascii="Calibri" w:hAnsi="Calibri"/>
          <w:b w:val="0"/>
          <w:i w:val="0"/>
          <w:color w:val="4A4A4A"/>
          <w:sz w:val="22"/>
        </w:rPr>
        <w:t>Students who do not know what adults are looking for develop one of two responses: they perform (which distorts the data) or they shut down (which also distorts the data). Either response makes the observation useless and leaves the student feeling judged. The Adult Look-Fors lesson interrupts both responses by telling students directly: here is what they are watching, here is what it is for, and here is what your job is. Once installed, the lesson reframes observation as a transparent professional practice that students are part of, not separate from.</w:t>
      </w:r>
    </w:p>
    <w:p>
      <w:r>
        <w:rPr>
          <w:rFonts w:ascii="Arial Narrow" w:hAnsi="Arial Narrow"/>
          <w:b/>
          <w:i w:val="0"/>
          <w:color w:val="E21C24"/>
          <w:sz w:val="26"/>
        </w:rPr>
        <w:t>STUDENT OUTCOMES</w:t>
      </w:r>
    </w:p>
    <w:p>
      <w:pPr>
        <w:pStyle w:val="ListBullet"/>
      </w:pPr>
      <w:r>
        <w:rPr>
          <w:rFonts w:ascii="Calibri" w:hAnsi="Calibri"/>
          <w:b w:val="0"/>
          <w:i w:val="0"/>
          <w:color w:val="4A4A4A"/>
          <w:sz w:val="22"/>
        </w:rPr>
        <w:t>Name three things adult observers look for in a classroom visit.</w:t>
      </w:r>
    </w:p>
    <w:p>
      <w:pPr>
        <w:pStyle w:val="ListBullet"/>
      </w:pPr>
      <w:r>
        <w:rPr>
          <w:rFonts w:ascii="Calibri" w:hAnsi="Calibri"/>
          <w:b w:val="0"/>
          <w:i w:val="0"/>
          <w:color w:val="4A4A4A"/>
          <w:sz w:val="22"/>
        </w:rPr>
        <w:t>Identify the difference between observation and judgment.</w:t>
      </w:r>
    </w:p>
    <w:p>
      <w:pPr>
        <w:pStyle w:val="ListBullet"/>
      </w:pPr>
      <w:r>
        <w:rPr>
          <w:rFonts w:ascii="Calibri" w:hAnsi="Calibri"/>
          <w:b w:val="0"/>
          <w:i w:val="0"/>
          <w:color w:val="4A4A4A"/>
          <w:sz w:val="22"/>
        </w:rPr>
        <w:t>Maintain routine during an observation without performing or shutting down.</w:t>
      </w:r>
    </w:p>
    <w:p>
      <w:r>
        <w:rPr>
          <w:rFonts w:ascii="Arial Narrow" w:hAnsi="Arial Narrow"/>
          <w:b/>
          <w:i w:val="0"/>
          <w:color w:val="E21C24"/>
          <w:sz w:val="32"/>
        </w:rPr>
        <w:t>RUN OF SHOW (TIME-STAMPED)</w:t>
      </w:r>
    </w:p>
    <w:tbl>
      <w:tblPr>
        <w:tblStyle w:val="TableGrid"/>
        <w:tblW w:type="auto" w:w="0"/>
        <w:tblLook w:firstColumn="1" w:firstRow="1" w:lastColumn="0" w:lastRow="0" w:noHBand="0" w:noVBand="1" w:val="04A0"/>
      </w:tblPr>
      <w:tblGrid>
        <w:gridCol w:w="2556"/>
        <w:gridCol w:w="2556"/>
        <w:gridCol w:w="2556"/>
        <w:gridCol w:w="2556"/>
      </w:tblGrid>
      <w:tr>
        <w:tc>
          <w:tcPr>
            <w:tcW w:type="dxa" w:w="2556"/>
            <w:shd w:val="clear" w:fill="1A1A1A"/>
          </w:tcPr>
          <w:p>
            <w:r/>
            <w:r>
              <w:rPr>
                <w:rFonts w:ascii="Calibri" w:hAnsi="Calibri"/>
                <w:b/>
                <w:i w:val="0"/>
                <w:color w:val="FFFFFF"/>
                <w:sz w:val="19"/>
              </w:rPr>
              <w:t>Time</w:t>
            </w:r>
          </w:p>
        </w:tc>
        <w:tc>
          <w:tcPr>
            <w:tcW w:type="dxa" w:w="2556"/>
            <w:shd w:val="clear" w:fill="1A1A1A"/>
          </w:tcPr>
          <w:p>
            <w:r/>
            <w:r>
              <w:rPr>
                <w:rFonts w:ascii="Calibri" w:hAnsi="Calibri"/>
                <w:b/>
                <w:i w:val="0"/>
                <w:color w:val="FFFFFF"/>
                <w:sz w:val="19"/>
              </w:rPr>
              <w:t>Min</w:t>
            </w:r>
          </w:p>
        </w:tc>
        <w:tc>
          <w:tcPr>
            <w:tcW w:type="dxa" w:w="2556"/>
            <w:shd w:val="clear" w:fill="1A1A1A"/>
          </w:tcPr>
          <w:p>
            <w:r/>
            <w:r>
              <w:rPr>
                <w:rFonts w:ascii="Calibri" w:hAnsi="Calibri"/>
                <w:b/>
                <w:i w:val="0"/>
                <w:color w:val="FFFFFF"/>
                <w:sz w:val="19"/>
              </w:rPr>
              <w:t>Segment</w:t>
            </w:r>
          </w:p>
        </w:tc>
        <w:tc>
          <w:tcPr>
            <w:tcW w:type="dxa" w:w="2556"/>
            <w:shd w:val="clear" w:fill="1A1A1A"/>
          </w:tcPr>
          <w:p>
            <w:r/>
            <w:r>
              <w:rPr>
                <w:rFonts w:ascii="Calibri" w:hAnsi="Calibri"/>
                <w:b/>
                <w:i w:val="0"/>
                <w:color w:val="FFFFFF"/>
                <w:sz w:val="19"/>
              </w:rPr>
              <w:t>Teacher Direction</w:t>
            </w:r>
          </w:p>
        </w:tc>
      </w:tr>
      <w:tr>
        <w:tc>
          <w:tcPr>
            <w:tcW w:type="dxa" w:w="2556"/>
            <w:shd w:val="clear" w:fill="FFFFFF"/>
          </w:tcPr>
          <w:p>
            <w:r/>
            <w:r>
              <w:rPr>
                <w:rFonts w:ascii="Calibri" w:hAnsi="Calibri"/>
                <w:b w:val="0"/>
                <w:i w:val="0"/>
                <w:color w:val="4A4A4A"/>
                <w:sz w:val="19"/>
              </w:rPr>
              <w:t>0:00–0:03</w:t>
            </w:r>
          </w:p>
        </w:tc>
        <w:tc>
          <w:tcPr>
            <w:tcW w:type="dxa" w:w="2556"/>
            <w:shd w:val="clear" w:fill="FFFFFF"/>
          </w:tcPr>
          <w:p>
            <w:r/>
            <w:r>
              <w:rPr>
                <w:rFonts w:ascii="Calibri" w:hAnsi="Calibri"/>
                <w:b w:val="0"/>
                <w:i w:val="0"/>
                <w:color w:val="4A4A4A"/>
                <w:sz w:val="19"/>
              </w:rPr>
              <w:t>3</w:t>
            </w:r>
          </w:p>
        </w:tc>
        <w:tc>
          <w:tcPr>
            <w:tcW w:type="dxa" w:w="2556"/>
            <w:shd w:val="clear" w:fill="FFFFFF"/>
          </w:tcPr>
          <w:p>
            <w:r/>
            <w:r>
              <w:rPr>
                <w:rFonts w:ascii="Calibri" w:hAnsi="Calibri"/>
                <w:b w:val="0"/>
                <w:i w:val="0"/>
                <w:color w:val="4A4A4A"/>
                <w:sz w:val="19"/>
              </w:rPr>
              <w:t>1. Hook: "Who has watched you work?" (3 minutes)</w:t>
            </w:r>
          </w:p>
        </w:tc>
        <w:tc>
          <w:tcPr>
            <w:tcW w:type="dxa" w:w="2556"/>
            <w:shd w:val="clear" w:fill="FFFFFF"/>
          </w:tcPr>
          <w:p>
            <w:r/>
            <w:r>
              <w:rPr>
                <w:rFonts w:ascii="Calibri" w:hAnsi="Calibri"/>
                <w:b w:val="0"/>
                <w:i w:val="0"/>
                <w:color w:val="4A4A4A"/>
                <w:sz w:val="19"/>
              </w:rPr>
              <w:t>Pose the question: "Think about a time an adult walked into a space where you were doing your job - a classroom, a sports practice, a job, a chore. What did you do when they showed up?"  Take three responses. Most students will say I tried harder, I got nervous, I forgot what I was doing, I started showing off.  Validate. Land:  "All of those are normal. None of them are useful. Today we install a different response - the one professionals use when they know they are being observed."</w:t>
            </w:r>
          </w:p>
        </w:tc>
      </w:tr>
      <w:tr>
        <w:tc>
          <w:tcPr>
            <w:tcW w:type="dxa" w:w="2556"/>
            <w:shd w:val="clear" w:fill="F6F6F4"/>
          </w:tcPr>
          <w:p>
            <w:r/>
            <w:r>
              <w:rPr>
                <w:rFonts w:ascii="Calibri" w:hAnsi="Calibri"/>
                <w:b w:val="0"/>
                <w:i w:val="0"/>
                <w:color w:val="4A4A4A"/>
                <w:sz w:val="19"/>
              </w:rPr>
              <w:t>0:03–0:10</w:t>
            </w:r>
          </w:p>
        </w:tc>
        <w:tc>
          <w:tcPr>
            <w:tcW w:type="dxa" w:w="2556"/>
            <w:shd w:val="clear" w:fill="F6F6F4"/>
          </w:tcPr>
          <w:p>
            <w:r/>
            <w:r>
              <w:rPr>
                <w:rFonts w:ascii="Calibri" w:hAnsi="Calibri"/>
                <w:b w:val="0"/>
                <w:i w:val="0"/>
                <w:color w:val="4A4A4A"/>
                <w:sz w:val="19"/>
              </w:rPr>
              <w:t>7</w:t>
            </w:r>
          </w:p>
        </w:tc>
        <w:tc>
          <w:tcPr>
            <w:tcW w:type="dxa" w:w="2556"/>
            <w:shd w:val="clear" w:fill="F6F6F4"/>
          </w:tcPr>
          <w:p>
            <w:r/>
            <w:r>
              <w:rPr>
                <w:rFonts w:ascii="Calibri" w:hAnsi="Calibri"/>
                <w:b w:val="0"/>
                <w:i w:val="0"/>
                <w:color w:val="4A4A4A"/>
                <w:sz w:val="19"/>
              </w:rPr>
              <w:t>2. Teach what adults look for (7 minutes)</w:t>
            </w:r>
          </w:p>
        </w:tc>
        <w:tc>
          <w:tcPr>
            <w:tcW w:type="dxa" w:w="2556"/>
            <w:shd w:val="clear" w:fill="F6F6F4"/>
          </w:tcPr>
          <w:p>
            <w:r/>
            <w:r>
              <w:rPr>
                <w:rFonts w:ascii="Calibri" w:hAnsi="Calibri"/>
                <w:b w:val="0"/>
                <w:i w:val="0"/>
                <w:color w:val="4A4A4A"/>
                <w:sz w:val="19"/>
              </w:rPr>
              <w:t>Tell students directly: "Notice what is NOT on this list. They are not watching for whether you are 'good.' They are not watching for how smart you are. They are not watching for whether you like the lesson. They are watching for the system."  For each category, give a specific example. Use the look-for documents themselves: "You read the matrix today. That is in the routine category. When the observer walks in, they are checking whether the matrix is posted and whether you and I are using its language."</w:t>
            </w:r>
          </w:p>
        </w:tc>
      </w:tr>
      <w:tr>
        <w:tc>
          <w:tcPr>
            <w:tcW w:type="dxa" w:w="2556"/>
            <w:shd w:val="clear" w:fill="FFFFFF"/>
          </w:tcPr>
          <w:p>
            <w:r/>
            <w:r>
              <w:rPr>
                <w:rFonts w:ascii="Calibri" w:hAnsi="Calibri"/>
                <w:b w:val="0"/>
                <w:i w:val="0"/>
                <w:color w:val="4A4A4A"/>
                <w:sz w:val="19"/>
              </w:rPr>
              <w:t>0:10–0:14</w:t>
            </w:r>
          </w:p>
        </w:tc>
        <w:tc>
          <w:tcPr>
            <w:tcW w:type="dxa" w:w="2556"/>
            <w:shd w:val="clear" w:fill="FFFFFF"/>
          </w:tcPr>
          <w:p>
            <w:r/>
            <w:r>
              <w:rPr>
                <w:rFonts w:ascii="Calibri" w:hAnsi="Calibri"/>
                <w:b w:val="0"/>
                <w:i w:val="0"/>
                <w:color w:val="4A4A4A"/>
                <w:sz w:val="19"/>
              </w:rPr>
              <w:t>4</w:t>
            </w:r>
          </w:p>
        </w:tc>
        <w:tc>
          <w:tcPr>
            <w:tcW w:type="dxa" w:w="2556"/>
            <w:shd w:val="clear" w:fill="FFFFFF"/>
          </w:tcPr>
          <w:p>
            <w:r/>
            <w:r>
              <w:rPr>
                <w:rFonts w:ascii="Calibri" w:hAnsi="Calibri"/>
                <w:b w:val="0"/>
                <w:i w:val="0"/>
                <w:color w:val="4A4A4A"/>
                <w:sz w:val="19"/>
              </w:rPr>
              <w:t>3. Observation vs. judgment (4 minutes)</w:t>
            </w:r>
          </w:p>
        </w:tc>
        <w:tc>
          <w:tcPr>
            <w:tcW w:type="dxa" w:w="2556"/>
            <w:shd w:val="clear" w:fill="FFFFFF"/>
          </w:tcPr>
          <w:p>
            <w:r/>
            <w:r>
              <w:rPr>
                <w:rFonts w:ascii="Calibri" w:hAnsi="Calibri"/>
                <w:b w:val="0"/>
                <w:i w:val="0"/>
                <w:color w:val="4A4A4A"/>
                <w:sz w:val="19"/>
              </w:rPr>
              <w:t>Tell students: "What you will see in this room is observation. That is why adults bring a tool or a clipboard - they are taking notes, not making decisions. The judgment happens later, between adults, with the data they collected. It does not happen to you in the moment."</w:t>
            </w:r>
          </w:p>
        </w:tc>
      </w:tr>
      <w:tr>
        <w:tc>
          <w:tcPr>
            <w:tcW w:type="dxa" w:w="2556"/>
            <w:shd w:val="clear" w:fill="F6F6F4"/>
          </w:tcPr>
          <w:p>
            <w:r/>
            <w:r>
              <w:rPr>
                <w:rFonts w:ascii="Calibri" w:hAnsi="Calibri"/>
                <w:b w:val="0"/>
                <w:i w:val="0"/>
                <w:color w:val="4A4A4A"/>
                <w:sz w:val="19"/>
              </w:rPr>
              <w:t>0:14–0:18</w:t>
            </w:r>
          </w:p>
        </w:tc>
        <w:tc>
          <w:tcPr>
            <w:tcW w:type="dxa" w:w="2556"/>
            <w:shd w:val="clear" w:fill="F6F6F4"/>
          </w:tcPr>
          <w:p>
            <w:r/>
            <w:r>
              <w:rPr>
                <w:rFonts w:ascii="Calibri" w:hAnsi="Calibri"/>
                <w:b w:val="0"/>
                <w:i w:val="0"/>
                <w:color w:val="4A4A4A"/>
                <w:sz w:val="19"/>
              </w:rPr>
              <w:t>4</w:t>
            </w:r>
          </w:p>
        </w:tc>
        <w:tc>
          <w:tcPr>
            <w:tcW w:type="dxa" w:w="2556"/>
            <w:shd w:val="clear" w:fill="F6F6F4"/>
          </w:tcPr>
          <w:p>
            <w:r/>
            <w:r>
              <w:rPr>
                <w:rFonts w:ascii="Calibri" w:hAnsi="Calibri"/>
                <w:b w:val="0"/>
                <w:i w:val="0"/>
                <w:color w:val="4A4A4A"/>
                <w:sz w:val="19"/>
              </w:rPr>
              <w:t>4. Teach the student's job during observation (4 minutes)</w:t>
            </w:r>
          </w:p>
        </w:tc>
        <w:tc>
          <w:tcPr>
            <w:tcW w:type="dxa" w:w="2556"/>
            <w:shd w:val="clear" w:fill="F6F6F4"/>
          </w:tcPr>
          <w:p>
            <w:r/>
            <w:r>
              <w:rPr>
                <w:rFonts w:ascii="Calibri" w:hAnsi="Calibri"/>
                <w:b w:val="0"/>
                <w:i w:val="0"/>
                <w:color w:val="4A4A4A"/>
                <w:sz w:val="19"/>
              </w:rPr>
              <w:t>Demonstrate. Have a co-teacher or another adult walk into the room with a clipboard during fake activity. Students practice the four moves. After two minutes, debrief: "Who noticed? Who kept going? What did that feel like?"</w:t>
            </w:r>
          </w:p>
        </w:tc>
      </w:tr>
      <w:tr>
        <w:tc>
          <w:tcPr>
            <w:tcW w:type="dxa" w:w="2556"/>
            <w:shd w:val="clear" w:fill="FFFFFF"/>
          </w:tcPr>
          <w:p>
            <w:r/>
            <w:r>
              <w:rPr>
                <w:rFonts w:ascii="Calibri" w:hAnsi="Calibri"/>
                <w:b w:val="0"/>
                <w:i w:val="0"/>
                <w:color w:val="4A4A4A"/>
                <w:sz w:val="19"/>
              </w:rPr>
              <w:t>0:18–0:20</w:t>
            </w:r>
          </w:p>
        </w:tc>
        <w:tc>
          <w:tcPr>
            <w:tcW w:type="dxa" w:w="2556"/>
            <w:shd w:val="clear" w:fill="FFFFFF"/>
          </w:tcPr>
          <w:p>
            <w:r/>
            <w:r>
              <w:rPr>
                <w:rFonts w:ascii="Calibri" w:hAnsi="Calibri"/>
                <w:b w:val="0"/>
                <w:i w:val="0"/>
                <w:color w:val="4A4A4A"/>
                <w:sz w:val="19"/>
              </w:rPr>
              <w:t>2</w:t>
            </w:r>
          </w:p>
        </w:tc>
        <w:tc>
          <w:tcPr>
            <w:tcW w:type="dxa" w:w="2556"/>
            <w:shd w:val="clear" w:fill="FFFFFF"/>
          </w:tcPr>
          <w:p>
            <w:r/>
            <w:r>
              <w:rPr>
                <w:rFonts w:ascii="Calibri" w:hAnsi="Calibri"/>
                <w:b w:val="0"/>
                <w:i w:val="0"/>
                <w:color w:val="4A4A4A"/>
                <w:sz w:val="19"/>
              </w:rPr>
              <w:t>5. Reflect (2 minutes)</w:t>
            </w:r>
          </w:p>
        </w:tc>
        <w:tc>
          <w:tcPr>
            <w:tcW w:type="dxa" w:w="2556"/>
            <w:shd w:val="clear" w:fill="FFFFFF"/>
          </w:tcPr>
          <w:p>
            <w:r/>
            <w:r>
              <w:rPr>
                <w:rFonts w:ascii="Calibri" w:hAnsi="Calibri"/>
                <w:b w:val="0"/>
                <w:i w:val="0"/>
                <w:color w:val="4A4A4A"/>
                <w:sz w:val="19"/>
              </w:rPr>
              <w:t>Ask: "What is your move when the first observer walks in this year?" Take two shares.</w:t>
            </w:r>
          </w:p>
        </w:tc>
      </w:tr>
    </w:tbl>
    <w:p/>
    <w:p>
      <w:r>
        <w:rPr>
          <w:rFonts w:ascii="Arial Narrow" w:hAnsi="Arial Narrow"/>
          <w:b/>
          <w:i w:val="0"/>
          <w:color w:val="E21C24"/>
          <w:sz w:val="26"/>
        </w:rPr>
        <w:t>TEACHER LANGUAGE TO PRESERVE</w:t>
      </w:r>
    </w:p>
    <w:p>
      <w:pPr>
        <w:pStyle w:val="ListBullet"/>
      </w:pPr>
      <w:r>
        <w:rPr>
          <w:rFonts w:ascii="Calibri" w:hAnsi="Calibri"/>
          <w:b w:val="0"/>
          <w:i w:val="0"/>
          <w:color w:val="4A4A4A"/>
          <w:sz w:val="22"/>
        </w:rPr>
        <w:t>"Show me what Safe looks like here."</w:t>
      </w:r>
    </w:p>
    <w:p>
      <w:pPr>
        <w:pStyle w:val="ListBullet"/>
      </w:pPr>
      <w:r>
        <w:rPr>
          <w:rFonts w:ascii="Calibri" w:hAnsi="Calibri"/>
          <w:b w:val="0"/>
          <w:i w:val="0"/>
          <w:color w:val="4A4A4A"/>
          <w:sz w:val="22"/>
        </w:rPr>
        <w:t>"Let's make Respectful observable."</w:t>
      </w:r>
    </w:p>
    <w:p>
      <w:pPr>
        <w:pStyle w:val="ListBullet"/>
      </w:pPr>
      <w:r>
        <w:rPr>
          <w:rFonts w:ascii="Calibri" w:hAnsi="Calibri"/>
          <w:b w:val="0"/>
          <w:i w:val="0"/>
          <w:color w:val="4A4A4A"/>
          <w:sz w:val="22"/>
        </w:rPr>
        <w:t>"Responsible means we know the next move and do it without waiting for repeated reminders."</w:t>
      </w:r>
    </w:p>
    <w:p>
      <w:pPr>
        <w:pStyle w:val="ListBullet"/>
      </w:pPr>
      <w:r>
        <w:rPr>
          <w:rFonts w:ascii="Calibri" w:hAnsi="Calibri"/>
          <w:b w:val="0"/>
          <w:i w:val="0"/>
          <w:color w:val="4A4A4A"/>
          <w:sz w:val="22"/>
        </w:rPr>
        <w:t>"Reset. Walk it again."</w:t>
      </w:r>
    </w:p>
    <w:p>
      <w:pPr>
        <w:pStyle w:val="ListBullet"/>
      </w:pPr>
      <w:r>
        <w:rPr>
          <w:rFonts w:ascii="Calibri" w:hAnsi="Calibri"/>
          <w:b w:val="0"/>
          <w:i w:val="0"/>
          <w:color w:val="4A4A4A"/>
          <w:sz w:val="22"/>
        </w:rPr>
        <w:t>Preserve any exact quoted lines from the source section above.</w:t>
      </w:r>
    </w:p>
    <w:p>
      <w:r>
        <w:rPr>
          <w:rFonts w:ascii="Arial Narrow" w:hAnsi="Arial Narrow"/>
          <w:b/>
          <w:i w:val="0"/>
          <w:color w:val="E21C24"/>
          <w:sz w:val="26"/>
        </w:rPr>
        <w:t>CHECKS FOR UNDERSTANDING</w:t>
      </w:r>
    </w:p>
    <w:p>
      <w:pPr>
        <w:pStyle w:val="ListBullet"/>
      </w:pPr>
      <w:r>
        <w:rPr>
          <w:rFonts w:ascii="Calibri" w:hAnsi="Calibri"/>
          <w:b w:val="0"/>
          <w:i w:val="0"/>
          <w:color w:val="4A4A4A"/>
          <w:sz w:val="22"/>
        </w:rPr>
        <w:t>Students can name the move or routine.</w:t>
      </w:r>
    </w:p>
    <w:p>
      <w:pPr>
        <w:pStyle w:val="ListBullet"/>
      </w:pPr>
      <w:r>
        <w:rPr>
          <w:rFonts w:ascii="Calibri" w:hAnsi="Calibri"/>
          <w:b w:val="0"/>
          <w:i w:val="0"/>
          <w:color w:val="4A4A4A"/>
          <w:sz w:val="22"/>
        </w:rPr>
        <w:t>Students can show it with their bodies, words, or materials.</w:t>
      </w:r>
    </w:p>
    <w:p>
      <w:pPr>
        <w:pStyle w:val="ListBullet"/>
      </w:pPr>
      <w:r>
        <w:rPr>
          <w:rFonts w:ascii="Calibri" w:hAnsi="Calibri"/>
          <w:b w:val="0"/>
          <w:i w:val="0"/>
          <w:color w:val="4A4A4A"/>
          <w:sz w:val="22"/>
        </w:rPr>
        <w:t>Students can explain how it supports Safe, Respectful, or Responsible.</w:t>
      </w:r>
    </w:p>
    <w:p>
      <w:pPr>
        <w:pStyle w:val="ListBullet"/>
      </w:pPr>
      <w:r>
        <w:rPr>
          <w:rFonts w:ascii="Calibri" w:hAnsi="Calibri"/>
          <w:b w:val="0"/>
          <w:i w:val="0"/>
          <w:color w:val="4A4A4A"/>
          <w:sz w:val="22"/>
        </w:rPr>
        <w:t>Students can accept correction and re-practice immediately.</w:t>
      </w:r>
    </w:p>
    <w:p>
      <w:r>
        <w:rPr>
          <w:rFonts w:ascii="Arial Narrow" w:hAnsi="Arial Narrow"/>
          <w:b/>
          <w:i w:val="0"/>
          <w:color w:val="E21C24"/>
          <w:sz w:val="26"/>
        </w:rPr>
        <w:t>KEY POINTS</w:t>
      </w:r>
    </w:p>
    <w:p>
      <w:pPr>
        <w:pStyle w:val="ListBullet"/>
      </w:pPr>
      <w:r>
        <w:rPr>
          <w:rFonts w:ascii="Calibri" w:hAnsi="Calibri"/>
          <w:b w:val="0"/>
          <w:i w:val="0"/>
          <w:color w:val="4A4A4A"/>
          <w:sz w:val="22"/>
        </w:rPr>
        <w:t>Three categories adults watch: routine, student response, teacher moves.</w:t>
      </w:r>
    </w:p>
    <w:p>
      <w:pPr>
        <w:pStyle w:val="ListBullet"/>
      </w:pPr>
      <w:r>
        <w:rPr>
          <w:rFonts w:ascii="Calibri" w:hAnsi="Calibri"/>
          <w:b w:val="0"/>
          <w:i w:val="0"/>
          <w:color w:val="4A4A4A"/>
          <w:sz w:val="22"/>
        </w:rPr>
        <w:t>Observation is data collection. Judgment is a different word.</w:t>
      </w:r>
    </w:p>
    <w:p>
      <w:pPr>
        <w:pStyle w:val="ListBullet"/>
      </w:pPr>
      <w:r>
        <w:rPr>
          <w:rFonts w:ascii="Calibri" w:hAnsi="Calibri"/>
          <w:b w:val="0"/>
          <w:i w:val="0"/>
          <w:color w:val="4A4A4A"/>
          <w:sz w:val="22"/>
        </w:rPr>
        <w:t>Four student moves: stay in the routine, use the language, do not watch the visitor, trust your teacher.</w:t>
      </w:r>
    </w:p>
    <w:p>
      <w:pPr>
        <w:pStyle w:val="ListBullet"/>
      </w:pPr>
      <w:r>
        <w:rPr>
          <w:rFonts w:ascii="Calibri" w:hAnsi="Calibri"/>
          <w:b w:val="0"/>
          <w:i w:val="0"/>
          <w:color w:val="4A4A4A"/>
          <w:sz w:val="22"/>
        </w:rPr>
        <w:t>The visitor is watching the system, not you. The kindness is in not making it about you.</w:t>
      </w:r>
    </w:p>
    <w:p>
      <w:r>
        <w:rPr>
          <w:rFonts w:ascii="Arial Narrow" w:hAnsi="Arial Narrow"/>
          <w:b/>
          <w:i w:val="0"/>
          <w:color w:val="E21C24"/>
          <w:sz w:val="26"/>
        </w:rPr>
        <w:t>GRADE-BAND ADAPTATIONS</w:t>
      </w:r>
    </w:p>
    <w:tbl>
      <w:tblPr>
        <w:tblStyle w:val="TableGrid"/>
        <w:tblW w:type="auto" w:w="0"/>
        <w:tblLook w:firstColumn="1" w:firstRow="1" w:lastColumn="0" w:lastRow="0" w:noHBand="0" w:noVBand="1" w:val="04A0"/>
      </w:tblPr>
      <w:tblGrid>
        <w:gridCol w:w="5112"/>
        <w:gridCol w:w="5112"/>
      </w:tblGrid>
      <w:tr>
        <w:tc>
          <w:tcPr>
            <w:tcW w:type="dxa" w:w="5112"/>
            <w:shd w:val="clear" w:fill="1A1A1A"/>
          </w:tcPr>
          <w:p>
            <w:r/>
            <w:r>
              <w:rPr>
                <w:rFonts w:ascii="Calibri" w:hAnsi="Calibri"/>
                <w:b/>
                <w:i w:val="0"/>
                <w:color w:val="FFFFFF"/>
                <w:sz w:val="19"/>
              </w:rPr>
              <w:t>Grade band</w:t>
            </w:r>
          </w:p>
        </w:tc>
        <w:tc>
          <w:tcPr>
            <w:tcW w:type="dxa" w:w="5112"/>
            <w:shd w:val="clear" w:fill="1A1A1A"/>
          </w:tcPr>
          <w:p>
            <w:r/>
            <w:r>
              <w:rPr>
                <w:rFonts w:ascii="Calibri" w:hAnsi="Calibri"/>
                <w:b/>
                <w:i w:val="0"/>
                <w:color w:val="FFFFFF"/>
                <w:sz w:val="19"/>
              </w:rPr>
              <w:t>Adjustment</w:t>
            </w:r>
          </w:p>
        </w:tc>
      </w:tr>
      <w:tr>
        <w:tc>
          <w:tcPr>
            <w:tcW w:type="dxa" w:w="5112"/>
            <w:shd w:val="clear" w:fill="FFFFFF"/>
          </w:tcPr>
          <w:p>
            <w:r/>
            <w:r>
              <w:rPr>
                <w:rFonts w:ascii="Calibri" w:hAnsi="Calibri"/>
                <w:b w:val="0"/>
                <w:i w:val="0"/>
                <w:color w:val="4A4A4A"/>
                <w:sz w:val="19"/>
              </w:rPr>
              <w:t>K-2</w:t>
            </w:r>
          </w:p>
        </w:tc>
        <w:tc>
          <w:tcPr>
            <w:tcW w:type="dxa" w:w="5112"/>
            <w:shd w:val="clear" w:fill="FFFFFF"/>
          </w:tcPr>
          <w:p>
            <w:r/>
            <w:r>
              <w:rPr>
                <w:rFonts w:ascii="Calibri" w:hAnsi="Calibri"/>
                <w:b w:val="0"/>
                <w:i w:val="0"/>
                <w:color w:val="4A4A4A"/>
                <w:sz w:val="19"/>
              </w:rPr>
              <w:t>Replace "observation vs. judgment" with a simpler frame: "The visitor is here to learn from how our routines work." Use a puppet or a known adult for the practice walk-in rather than a stranger. Run the practice twice. The youngest students will need repetition to consolidate the response.</w:t>
            </w:r>
          </w:p>
        </w:tc>
      </w:tr>
      <w:tr>
        <w:tc>
          <w:tcPr>
            <w:tcW w:type="dxa" w:w="5112"/>
            <w:shd w:val="clear" w:fill="F6F6F4"/>
          </w:tcPr>
          <w:p>
            <w:r/>
            <w:r>
              <w:rPr>
                <w:rFonts w:ascii="Calibri" w:hAnsi="Calibri"/>
                <w:b w:val="0"/>
                <w:i w:val="0"/>
                <w:color w:val="4A4A4A"/>
                <w:sz w:val="19"/>
              </w:rPr>
              <w:t>3-5</w:t>
            </w:r>
          </w:p>
        </w:tc>
        <w:tc>
          <w:tcPr>
            <w:tcW w:type="dxa" w:w="5112"/>
            <w:shd w:val="clear" w:fill="F6F6F4"/>
          </w:tcPr>
          <w:p>
            <w:r/>
            <w:r>
              <w:rPr>
                <w:rFonts w:ascii="Calibri" w:hAnsi="Calibri"/>
                <w:b w:val="0"/>
                <w:i w:val="0"/>
                <w:color w:val="4A4A4A"/>
                <w:sz w:val="19"/>
              </w:rPr>
              <w:t>Run the lesson as written. Add: "If a visitor smiles or makes eye contact with you, you do not have to respond. You can keep going. That is also part of the system."</w:t>
            </w:r>
          </w:p>
        </w:tc>
      </w:tr>
      <w:tr>
        <w:tc>
          <w:tcPr>
            <w:tcW w:type="dxa" w:w="5112"/>
            <w:shd w:val="clear" w:fill="FFFFFF"/>
          </w:tcPr>
          <w:p>
            <w:r/>
            <w:r>
              <w:rPr>
                <w:rFonts w:ascii="Calibri" w:hAnsi="Calibri"/>
                <w:b w:val="0"/>
                <w:i w:val="0"/>
                <w:color w:val="4A4A4A"/>
                <w:sz w:val="19"/>
              </w:rPr>
              <w:t>6-8</w:t>
            </w:r>
          </w:p>
        </w:tc>
        <w:tc>
          <w:tcPr>
            <w:tcW w:type="dxa" w:w="5112"/>
            <w:shd w:val="clear" w:fill="FFFFFF"/>
          </w:tcPr>
          <w:p>
            <w:r/>
            <w:r>
              <w:rPr>
                <w:rFonts w:ascii="Calibri" w:hAnsi="Calibri"/>
                <w:b w:val="0"/>
                <w:i w:val="0"/>
                <w:color w:val="4A4A4A"/>
                <w:sz w:val="19"/>
              </w:rPr>
              <w:t>Frame the lesson as professional infrastructure: "This is how adult professional development works. Doctors are observed. Teachers are observed. Pilots are observed. The observation is what allows the people doing the job to keep getting better at it. You are inside an adult system right now, and we are telling you the rules."</w:t>
            </w:r>
          </w:p>
        </w:tc>
      </w:tr>
    </w:tbl>
    <w:p/>
    <w:p>
      <w:r>
        <w:rPr>
          <w:rFonts w:ascii="Arial Narrow" w:hAnsi="Arial Narrow"/>
          <w:b/>
          <w:i w:val="0"/>
          <w:color w:val="E21C24"/>
          <w:sz w:val="26"/>
        </w:rPr>
        <w:t>AFTER THE LESSON</w:t>
      </w:r>
    </w:p>
    <w:p>
      <w:r>
        <w:rPr>
          <w:rFonts w:ascii="Calibri" w:hAnsi="Calibri"/>
          <w:b w:val="0"/>
          <w:i w:val="0"/>
          <w:color w:val="4A4A4A"/>
          <w:sz w:val="22"/>
        </w:rPr>
        <w:t>Reference the look-fors when adults visit. Before an observation, cue the four moves: "Stay in the routine. Use the language. Do not watch the visitor. Trust me." Students hold the routine. The observation works. After an observation, debrief briefly: "What did you notice about how that went?" Take one or two shares. Reinforce the system-versus-self framing. When a student performs for a visitor, do not call them out in the moment. After the visitor leaves, debrief: "The visitor was watching the system. Tomorrow we hold the system." No shame. Just the reset.</w:t>
      </w:r>
    </w:p>
    <w:p>
      <w:r>
        <w:rPr>
          <w:rFonts w:ascii="Arial Narrow" w:hAnsi="Arial Narrow"/>
          <w:b/>
          <w:i w:val="0"/>
          <w:color w:val="E21C24"/>
          <w:sz w:val="32"/>
        </w:rPr>
        <w:t>COACHING SUPPORTS — ALIGNED TO STAFF SESSION 1 (CAR)</w:t>
      </w:r>
    </w:p>
    <w:p>
      <w:r>
        <w:rPr>
          <w:rFonts w:ascii="Calibri" w:hAnsi="Calibri"/>
          <w:b w:val="0"/>
          <w:i w:val="0"/>
          <w:color w:val="4A4A4A"/>
          <w:sz w:val="22"/>
        </w:rPr>
        <w:t>This student lesson is the practice ground for the adult moves trained in Staff Session 1. When this routine breaks, the adult chooses one responsive move, says it in ten words or fewer, and names the route back to learning.</w:t>
      </w:r>
    </w:p>
    <w:p>
      <w:r>
        <w:rPr>
          <w:rFonts w:ascii="Calibri" w:hAnsi="Calibri"/>
          <w:b/>
          <w:i/>
          <w:color w:val="1A1A1A"/>
          <w:sz w:val="22"/>
        </w:rPr>
        <w:t>CAR is not a label for the student. CAR is a decision point for the adult.</w:t>
      </w:r>
    </w:p>
    <w:tbl>
      <w:tblPr>
        <w:tblStyle w:val="TableGrid"/>
        <w:tblW w:type="auto" w:w="0"/>
        <w:tblLook w:firstColumn="1" w:firstRow="1" w:lastColumn="0" w:lastRow="0" w:noHBand="0" w:noVBand="1" w:val="04A0"/>
      </w:tblPr>
      <w:tblGrid>
        <w:gridCol w:w="3408"/>
        <w:gridCol w:w="3408"/>
        <w:gridCol w:w="3408"/>
      </w:tblGrid>
      <w:tr>
        <w:tc>
          <w:tcPr>
            <w:tcW w:type="dxa" w:w="3408"/>
            <w:shd w:val="clear" w:fill="1A1A1A"/>
          </w:tcPr>
          <w:p>
            <w:r/>
            <w:r>
              <w:rPr>
                <w:rFonts w:ascii="Calibri" w:hAnsi="Calibri"/>
                <w:b/>
                <w:i w:val="0"/>
                <w:color w:val="FFFFFF"/>
                <w:sz w:val="19"/>
              </w:rPr>
              <w:t>Move</w:t>
            </w:r>
          </w:p>
        </w:tc>
        <w:tc>
          <w:tcPr>
            <w:tcW w:type="dxa" w:w="3408"/>
            <w:shd w:val="clear" w:fill="1A1A1A"/>
          </w:tcPr>
          <w:p>
            <w:r/>
            <w:r>
              <w:rPr>
                <w:rFonts w:ascii="Calibri" w:hAnsi="Calibri"/>
                <w:b/>
                <w:i w:val="0"/>
                <w:color w:val="FFFFFF"/>
                <w:sz w:val="19"/>
              </w:rPr>
              <w:t>Adult asks</w:t>
            </w:r>
          </w:p>
        </w:tc>
        <w:tc>
          <w:tcPr>
            <w:tcW w:type="dxa" w:w="3408"/>
            <w:shd w:val="clear" w:fill="1A1A1A"/>
          </w:tcPr>
          <w:p>
            <w:r/>
            <w:r>
              <w:rPr>
                <w:rFonts w:ascii="Calibri" w:hAnsi="Calibri"/>
                <w:b/>
                <w:i w:val="0"/>
                <w:color w:val="FFFFFF"/>
                <w:sz w:val="19"/>
              </w:rPr>
              <w:t>Adult moves</w:t>
            </w:r>
          </w:p>
        </w:tc>
      </w:tr>
      <w:tr>
        <w:tc>
          <w:tcPr>
            <w:tcW w:type="dxa" w:w="3408"/>
            <w:shd w:val="clear" w:fill="FFFFFF"/>
          </w:tcPr>
          <w:p>
            <w:r/>
            <w:r>
              <w:rPr>
                <w:rFonts w:ascii="Calibri" w:hAnsi="Calibri"/>
                <w:b w:val="0"/>
                <w:i w:val="0"/>
                <w:color w:val="4A4A4A"/>
                <w:sz w:val="19"/>
              </w:rPr>
              <w:t>CLARITY</w:t>
            </w:r>
          </w:p>
        </w:tc>
        <w:tc>
          <w:tcPr>
            <w:tcW w:type="dxa" w:w="3408"/>
            <w:shd w:val="clear" w:fill="FFFFFF"/>
          </w:tcPr>
          <w:p>
            <w:r/>
            <w:r>
              <w:rPr>
                <w:rFonts w:ascii="Calibri" w:hAnsi="Calibri"/>
                <w:b w:val="0"/>
                <w:i w:val="0"/>
                <w:color w:val="4A4A4A"/>
                <w:sz w:val="19"/>
              </w:rPr>
              <w:t>Make the next step visible.</w:t>
            </w:r>
          </w:p>
        </w:tc>
        <w:tc>
          <w:tcPr>
            <w:tcW w:type="dxa" w:w="3408"/>
            <w:shd w:val="clear" w:fill="FFFFFF"/>
          </w:tcPr>
          <w:p>
            <w:r/>
            <w:r>
              <w:rPr>
                <w:rFonts w:ascii="Calibri" w:hAnsi="Calibri"/>
                <w:b w:val="0"/>
                <w:i w:val="0"/>
                <w:color w:val="4A4A4A"/>
                <w:sz w:val="19"/>
              </w:rPr>
              <w:t>restate, model, cue, point to a visual, rehearse, give one observable next step</w:t>
            </w:r>
          </w:p>
        </w:tc>
      </w:tr>
      <w:tr>
        <w:tc>
          <w:tcPr>
            <w:tcW w:type="dxa" w:w="3408"/>
            <w:shd w:val="clear" w:fill="F6F6F4"/>
          </w:tcPr>
          <w:p>
            <w:r/>
            <w:r>
              <w:rPr>
                <w:rFonts w:ascii="Calibri" w:hAnsi="Calibri"/>
                <w:b w:val="0"/>
                <w:i w:val="0"/>
                <w:color w:val="4A4A4A"/>
                <w:sz w:val="19"/>
              </w:rPr>
              <w:t>ACCESS</w:t>
            </w:r>
          </w:p>
        </w:tc>
        <w:tc>
          <w:tcPr>
            <w:tcW w:type="dxa" w:w="3408"/>
            <w:shd w:val="clear" w:fill="F6F6F4"/>
          </w:tcPr>
          <w:p>
            <w:r/>
            <w:r>
              <w:rPr>
                <w:rFonts w:ascii="Calibri" w:hAnsi="Calibri"/>
                <w:b w:val="0"/>
                <w:i w:val="0"/>
                <w:color w:val="4A4A4A"/>
                <w:sz w:val="19"/>
              </w:rPr>
              <w:t>Open a path to start, continue, or rejoin.</w:t>
            </w:r>
          </w:p>
        </w:tc>
        <w:tc>
          <w:tcPr>
            <w:tcW w:type="dxa" w:w="3408"/>
            <w:shd w:val="clear" w:fill="F6F6F4"/>
          </w:tcPr>
          <w:p>
            <w:r/>
            <w:r>
              <w:rPr>
                <w:rFonts w:ascii="Calibri" w:hAnsi="Calibri"/>
                <w:b w:val="0"/>
                <w:i w:val="0"/>
                <w:color w:val="4A4A4A"/>
                <w:sz w:val="19"/>
              </w:rPr>
              <w:t>scaffold, reduce the entry point, offer two choices, give a role, do the first step together, build a return path</w:t>
            </w:r>
          </w:p>
        </w:tc>
      </w:tr>
      <w:tr>
        <w:tc>
          <w:tcPr>
            <w:tcW w:type="dxa" w:w="3408"/>
            <w:shd w:val="clear" w:fill="FFFFFF"/>
          </w:tcPr>
          <w:p>
            <w:r/>
            <w:r>
              <w:rPr>
                <w:rFonts w:ascii="Calibri" w:hAnsi="Calibri"/>
                <w:b w:val="0"/>
                <w:i w:val="0"/>
                <w:color w:val="4A4A4A"/>
                <w:sz w:val="19"/>
              </w:rPr>
              <w:t>REGULATION</w:t>
            </w:r>
          </w:p>
        </w:tc>
        <w:tc>
          <w:tcPr>
            <w:tcW w:type="dxa" w:w="3408"/>
            <w:shd w:val="clear" w:fill="FFFFFF"/>
          </w:tcPr>
          <w:p>
            <w:r/>
            <w:r>
              <w:rPr>
                <w:rFonts w:ascii="Calibri" w:hAnsi="Calibri"/>
                <w:b w:val="0"/>
                <w:i w:val="0"/>
                <w:color w:val="4A4A4A"/>
                <w:sz w:val="19"/>
              </w:rPr>
              <w:t>Lower the pressure before problem-solving.</w:t>
            </w:r>
          </w:p>
        </w:tc>
        <w:tc>
          <w:tcPr>
            <w:tcW w:type="dxa" w:w="3408"/>
            <w:shd w:val="clear" w:fill="FFFFFF"/>
          </w:tcPr>
          <w:p>
            <w:r/>
            <w:r>
              <w:rPr>
                <w:rFonts w:ascii="Calibri" w:hAnsi="Calibri"/>
                <w:b w:val="0"/>
                <w:i w:val="0"/>
                <w:color w:val="4A4A4A"/>
                <w:sz w:val="19"/>
              </w:rPr>
              <w:t>reduce words, reduce audience, offer a reset, give time/space, two safe choices, problem-solve later</w:t>
            </w:r>
          </w:p>
        </w:tc>
      </w:tr>
    </w:tbl>
    <w:p/>
    <w:p>
      <w:r>
        <w:rPr>
          <w:rFonts w:ascii="Arial Narrow" w:hAnsi="Arial Narrow"/>
          <w:b/>
          <w:i w:val="0"/>
          <w:color w:val="1A1A1A"/>
          <w:sz w:val="25"/>
        </w:rPr>
        <w:t>ADULT RESPONSIVE DECISION SEQUENCE</w:t>
      </w:r>
    </w:p>
    <w:p>
      <w:pPr>
        <w:pStyle w:val="ListNumber"/>
      </w:pPr>
      <w:r>
        <w:rPr>
          <w:rFonts w:ascii="Calibri" w:hAnsi="Calibri"/>
          <w:b w:val="0"/>
          <w:i w:val="0"/>
          <w:color w:val="4A4A4A"/>
          <w:sz w:val="21"/>
        </w:rPr>
        <w:t>What happened? (low-inference observation only)</w:t>
      </w:r>
    </w:p>
    <w:p>
      <w:pPr>
        <w:pStyle w:val="ListNumber"/>
      </w:pPr>
      <w:r>
        <w:rPr>
          <w:rFonts w:ascii="Calibri" w:hAnsi="Calibri"/>
          <w:b w:val="0"/>
          <w:i w:val="0"/>
          <w:color w:val="4A4A4A"/>
          <w:sz w:val="21"/>
        </w:rPr>
        <w:t>Which expectation is connected? (Safe, Respectful, Responsible)</w:t>
      </w:r>
    </w:p>
    <w:p>
      <w:pPr>
        <w:pStyle w:val="ListNumber"/>
      </w:pPr>
      <w:r>
        <w:rPr>
          <w:rFonts w:ascii="Calibri" w:hAnsi="Calibri"/>
          <w:b w:val="0"/>
          <w:i w:val="0"/>
          <w:color w:val="4A4A4A"/>
          <w:sz w:val="21"/>
        </w:rPr>
        <w:t>Which responsive move fits? (Clarity, Access, Regulation)</w:t>
      </w:r>
    </w:p>
    <w:p>
      <w:pPr>
        <w:pStyle w:val="ListNumber"/>
      </w:pPr>
      <w:r>
        <w:rPr>
          <w:rFonts w:ascii="Calibri" w:hAnsi="Calibri"/>
          <w:b w:val="0"/>
          <w:i w:val="0"/>
          <w:color w:val="4A4A4A"/>
          <w:sz w:val="21"/>
        </w:rPr>
        <w:t>What is the lowest effective adult move?</w:t>
      </w:r>
    </w:p>
    <w:p>
      <w:pPr>
        <w:pStyle w:val="ListNumber"/>
      </w:pPr>
      <w:r>
        <w:rPr>
          <w:rFonts w:ascii="Calibri" w:hAnsi="Calibri"/>
          <w:b w:val="0"/>
          <w:i w:val="0"/>
          <w:color w:val="4A4A4A"/>
          <w:sz w:val="21"/>
        </w:rPr>
        <w:t>What is the 10-word adult script?</w:t>
      </w:r>
    </w:p>
    <w:p>
      <w:pPr>
        <w:pStyle w:val="ListNumber"/>
      </w:pPr>
      <w:r>
        <w:rPr>
          <w:rFonts w:ascii="Calibri" w:hAnsi="Calibri"/>
          <w:b w:val="0"/>
          <w:i w:val="0"/>
          <w:color w:val="4A4A4A"/>
          <w:sz w:val="21"/>
        </w:rPr>
        <w:t>What wrong turn am I avoiding?</w:t>
      </w:r>
    </w:p>
    <w:p>
      <w:pPr>
        <w:pStyle w:val="ListNumber"/>
      </w:pPr>
      <w:r>
        <w:rPr>
          <w:rFonts w:ascii="Calibri" w:hAnsi="Calibri"/>
          <w:b w:val="0"/>
          <w:i w:val="0"/>
          <w:color w:val="4A4A4A"/>
          <w:sz w:val="21"/>
        </w:rPr>
        <w:t>What is the route back to learning?</w:t>
      </w:r>
    </w:p>
    <w:p>
      <w:pPr>
        <w:pStyle w:val="ListNumber"/>
      </w:pPr>
      <w:r>
        <w:rPr>
          <w:rFonts w:ascii="Calibri" w:hAnsi="Calibri"/>
          <w:b w:val="0"/>
          <w:i w:val="0"/>
          <w:color w:val="4A4A4A"/>
          <w:sz w:val="21"/>
        </w:rPr>
        <w:t>What evidence will I recognize when the student returns?</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