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Narrow" w:hAnsi="Arial Narrow"/>
          <w:b/>
          <w:i w:val="0"/>
          <w:color w:val="E21C24"/>
          <w:sz w:val="21"/>
        </w:rPr>
        <w:t>MATCHBOOK CULTURE  ·  BEGINNING OF YEAR  ·  START HERE</w:t>
      </w:r>
    </w:p>
    <w:p>
      <w:pPr>
        <w:pBdr>
          <w:bottom w:val="single" w:sz="18" w:space="2" w:color="E21C24"/>
        </w:pBdr>
      </w:pPr>
      <w:r>
        <w:rPr>
          <w:rFonts w:ascii="Arial Narrow" w:hAnsi="Arial Narrow"/>
          <w:b/>
          <w:i w:val="0"/>
          <w:color w:val="1A1A1A"/>
          <w:sz w:val="48"/>
        </w:rPr>
        <w:t>SESSION 1 — STAFF + STUDENT ALIGNMENT MAP</w:t>
      </w:r>
    </w:p>
    <w:p/>
    <w:p>
      <w:r>
        <w:rPr>
          <w:rFonts w:ascii="Calibri" w:hAnsi="Calibri"/>
          <w:b w:val="0"/>
          <w:i w:val="0"/>
          <w:color w:val="4A4A4A"/>
          <w:sz w:val="22"/>
        </w:rPr>
        <w:t>This bundle pairs Staff Session 1 (Culture Promise + The Meaning Gap) with the Day 1 student lessons that teach the same culture components. Staff learn the adult move; students learn the routine the adult is protecting. Every student lesson is built in three developmentally-appropriate grade bands.</w:t>
      </w:r>
    </w:p>
    <w:p>
      <w:r>
        <w:rPr>
          <w:rFonts w:ascii="Arial Narrow" w:hAnsi="Arial Narrow"/>
          <w:b/>
          <w:i w:val="0"/>
          <w:color w:val="1A1A1A"/>
          <w:sz w:val="26"/>
        </w:rPr>
        <w:t>HOW THIS FOLDER IS ORGANIZED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Presentations_and_Facilitation / 01_Staff-Facing — the 12 produced Session 1 staff files (preserved).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Presentations_and_Facilitation / 02_Student-Facing — 13 aligned lessons. Each keeps its original Student Deck, Teacher Guide, and Resources, and adds grade-band folders: 01_K-2, 02_Grades_3-5, 03_Grades_6-8 — each with a Student Deck + Student Handout.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00_CLAUDE_DESIGN_BRIEF.md — visual handoff spec (unifies staff + student in the Matchbook system).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_BUILD_CONTROL — production index and QA checklist.</w:t>
      </w:r>
    </w:p>
    <w:p>
      <w:r>
        <w:rPr>
          <w:rFonts w:ascii="Arial Narrow" w:hAnsi="Arial Narrow"/>
          <w:b/>
          <w:i w:val="0"/>
          <w:color w:val="E21C24"/>
          <w:sz w:val="28"/>
        </w:rPr>
        <w:t>ALIGNMENT CROSSWALK — STAFF SESSION 1 → STUDENT LESSONS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1A1A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Staff Session 1 component</w:t>
            </w:r>
          </w:p>
        </w:tc>
        <w:tc>
          <w:tcPr>
            <w:tcW w:type="dxa" w:w="2556"/>
            <w:shd w:val="clear" w:fill="1A1A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2556"/>
            <w:shd w:val="clear" w:fill="1A1A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Student lesson</w:t>
            </w:r>
          </w:p>
        </w:tc>
        <w:tc>
          <w:tcPr>
            <w:tcW w:type="dxa" w:w="2556"/>
            <w:shd w:val="clear" w:fill="1A1A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Folder</w:t>
            </w:r>
          </w:p>
        </w:tc>
      </w:tr>
      <w:tr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Culture Promise — Safe, Respectful, Responsible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Foundation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Safe, Respectful, Responsible Culture Promise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s_01_Safe_Respectful_Responsible_Promise</w:t>
            </w:r>
          </w:p>
        </w:tc>
      </w:tr>
      <w:tr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The Behavior Matrix — destination in each space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Foundation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Observable Behavior Matrix by Grade Band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s_02_Behavior_Matrix_by_Grade_Band</w:t>
            </w:r>
          </w:p>
        </w:tc>
      </w:tr>
      <w:tr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Look-Fors — evidence adults watch for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Foundation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Adult Look-Fors, Explained to Students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s_27_Adult_Look_Fors_For_Students</w:t>
            </w:r>
          </w:p>
        </w:tc>
      </w:tr>
      <w:tr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Classroom Anchor: The First Five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5 Settings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The First Five Routine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s_07_First_Five_Routine</w:t>
            </w:r>
          </w:p>
        </w:tc>
      </w:tr>
      <w:tr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Classroom Anchor: starting &amp; sustaining work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5 Settings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Independent Work Norms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s_16_Independent_Work_Norms</w:t>
            </w:r>
          </w:p>
        </w:tc>
      </w:tr>
      <w:tr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Hallway: Movement Without Momentum Loss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5 Settings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Hallway Travel Routine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s_09_Hallway_Travel_Routine</w:t>
            </w:r>
          </w:p>
        </w:tc>
      </w:tr>
      <w:tr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Cafeteria: Community in Motion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5 Settings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Cafeteria: Entry, Meal, and Exit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s_11_Cafeteria_Entry_Meal_Exit</w:t>
            </w:r>
          </w:p>
        </w:tc>
      </w:tr>
      <w:tr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Cafeteria/Breakfast holding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5 Settings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Breakfast Holding Routine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s_06_Breakfast_Holding_Routine</w:t>
            </w:r>
          </w:p>
        </w:tc>
      </w:tr>
      <w:tr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Restroom: Privacy, Pace, and Trust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5 Settings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Bathroom Routine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s_10_Bathroom_Routine</w:t>
            </w:r>
          </w:p>
        </w:tc>
      </w:tr>
      <w:tr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Playground/Recess: Freedom With Boundaries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5 Settings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Recess Boundaries and Recall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s_12_Recess_Boundaries_and_Recall</w:t>
            </w:r>
          </w:p>
        </w:tc>
      </w:tr>
      <w:tr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CAR · Regulation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Responsive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Regulation Choices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s_20_Regulation_Choices</w:t>
            </w:r>
          </w:p>
        </w:tc>
      </w:tr>
      <w:tr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Route back to learning — repair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Responsive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Repair Words</w:t>
            </w:r>
          </w:p>
        </w:tc>
        <w:tc>
          <w:tcPr>
            <w:tcW w:type="dxa" w:w="2556"/>
            <w:shd w:val="clear" w:fill="F6F6F4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s_21_Repair_Words</w:t>
            </w:r>
          </w:p>
        </w:tc>
      </w:tr>
      <w:tr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Route back to learning — re-entry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Responsive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Re-Entry Routine</w:t>
            </w:r>
          </w:p>
        </w:tc>
        <w:tc>
          <w:tcPr>
            <w:tcW w:type="dxa" w:w="2556"/>
            <w:shd w:val="clear" w:fill="FFFFFF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9"/>
              </w:rPr>
              <w:t>s_22_Re_Entry_Routine</w:t>
            </w:r>
          </w:p>
        </w:tc>
      </w:tr>
    </w:tbl>
    <w:p/>
    <w:p>
      <w:r>
        <w:rPr>
          <w:rFonts w:ascii="Arial Narrow" w:hAnsi="Arial Narrow"/>
          <w:b/>
          <w:i w:val="0"/>
          <w:color w:val="1A1A1A"/>
          <w:sz w:val="26"/>
        </w:rPr>
        <w:t>GRADE-BAND DESIGN (DAP)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K-2 — big type, one idea per slide, chant + show-me, draw boxes on handouts.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3-5 — the lesson as written: tables, short bullets, practice card + reflection.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6-8 — mature framing (rule vs. promise, performed vs. lived respect, professional infrastructure); more text allowed; private reflection.</w:t>
      </w:r>
    </w:p>
    <w:p>
      <w:r>
        <w:rPr>
          <w:rFonts w:ascii="Arial Narrow" w:hAnsi="Arial Narrow"/>
          <w:b/>
          <w:i w:val="0"/>
          <w:color w:val="1A1A1A"/>
          <w:sz w:val="26"/>
        </w:rPr>
        <w:t>COACHING ALIGNMENT (THE THROUGH-LINE)</w:t>
      </w:r>
    </w:p>
    <w:p>
      <w:r>
        <w:rPr>
          <w:rFonts w:ascii="Calibri" w:hAnsi="Calibri"/>
          <w:b w:val="0"/>
          <w:i w:val="0"/>
          <w:color w:val="4A4A4A"/>
          <w:sz w:val="22"/>
        </w:rPr>
        <w:t>Every student Teacher Guide ends with a Coaching Supports section tying the lesson to Staff Session 1: when the routine breaks, the adult chooses one CAR move (Clarity, Access, Regulation), says it in ten words or fewer, and names the route back to learning. CAR is not a label for the student. CAR is a decision point for the adult.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