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Session 1 Follow-Up Coaching Look-For</w:t>
      </w:r>
    </w:p>
    <w:p>
      <w:pPr>
        <w:spacing w:after="160"/>
        <w:pBdr>
          <w:bottom w:val="single" w:sz="6" w:space="1" w:color="C9162B"/>
        </w:pBdr>
      </w:pPr>
    </w:p>
    <w:p>
      <w:r>
        <w:t>For instructional coaches, team leads, directors of culture, administrators, or any adult supporting implementation after Session 1.</w:t>
      </w:r>
    </w:p>
    <w:p>
      <w:pPr>
        <w:pStyle w:val="Heading1"/>
      </w:pPr>
      <w:r>
        <w:t>Product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648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Completed station response submitted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☐ Observed  ☐ Not yet</w:t>
            </w:r>
          </w:p>
        </w:tc>
      </w:tr>
      <w:tr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10-word adult script submitted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☐ Observed  ☐ Not yet</w:t>
            </w:r>
          </w:p>
        </w:tc>
      </w:tr>
      <w:tr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CAR wall commitment completed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☐ Observed  ☐ Not yet</w:t>
            </w:r>
          </w:p>
        </w:tc>
      </w:tr>
      <w:tr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Transfer setting/day/context named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☐ Observed  ☐ Not yet</w:t>
            </w:r>
          </w:p>
        </w:tc>
      </w:tr>
      <w:tr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Evidence of real use brought to coaching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☐ Observed  ☐ Not yet</w:t>
            </w:r>
          </w:p>
        </w:tc>
      </w:tr>
    </w:tbl>
    <w:p/>
    <w:p>
      <w:pPr>
        <w:pStyle w:val="Heading1"/>
      </w:pPr>
      <w:r>
        <w:t>Observation Look-Fors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04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Look-For</w:t>
            </w:r>
          </w:p>
        </w:tc>
        <w:tc>
          <w:tcPr>
            <w:tcW w:type="dxa" w:w="504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Uses low-inference language to name what happened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Connects response to Safe, Respectful, or Responsible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Chooses a Tier 1 responsive move before escalation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Uses CAR as an adult decision tool, not a student label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Script is brief, observable, dignified, aligned, and return-focused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Response avoids public correction and power struggle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Gives compliance time after directive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Provides a clear route back to learning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Recognizes evidence when the student returns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Documents or hands off when the situation exceeds Tier 1 or requires formal support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Coaching Debrief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691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Coach Action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1. What did you try?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Ask for exact words, not generalities.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2. What did you notice?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Student response, room response, adult tone/body.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3. Where did the shared language show up?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Name the precise connection to matrix/CAR.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4. Where did the move drift?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Name drift without shame.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5. What is the next practice move?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Select one action step.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6. When will we check evidence?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Set owner and date.</w:t>
            </w:r>
          </w:p>
        </w:tc>
      </w:tr>
    </w:tbl>
    <w:p/>
    <w:p>
      <w:pPr>
        <w:pStyle w:val="Heading1"/>
      </w:pPr>
      <w:r>
        <w:t>Drift Patterns and Coaching Moves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60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Drift Pattern</w:t>
            </w:r>
          </w:p>
        </w:tc>
        <w:tc>
          <w:tcPr>
            <w:tcW w:type="dxa" w:w="648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Coaching Move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Script too long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Practice the 10-word standard live; cut explanation to one directive.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Expectation not named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Return to the Behavior Matrix; name the specific expectation by setting.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Student labeled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Rewrite as an adult move: “This moment calls for...”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Skipped Tier 1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Identify which CAR move could have been attempted first.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Public correction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Role-play the same move privately or low-profile.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No recognition after return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Write the return recognition statement before next observation.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No documentation when pattern repeats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Clarify documentation/handoff threshold and owner.</w:t>
            </w:r>
          </w:p>
        </w:tc>
      </w:tr>
    </w:tbl>
    <w:p/>
    <w:p>
      <w:pPr>
        <w:pStyle w:val="Heading1"/>
      </w:pPr>
      <w:r>
        <w:t>Team-Level Review Protocol</w:t>
      </w:r>
    </w:p>
    <w:p>
      <w:pPr>
        <w:pStyle w:val="ListBullet"/>
      </w:pPr>
      <w:r>
        <w:t>Review what adults actually tried, not what they intended to try.</w:t>
      </w:r>
    </w:p>
    <w:p>
      <w:pPr>
        <w:pStyle w:val="ListBullet"/>
      </w:pPr>
      <w:r>
        <w:t>Name what is working using session language.</w:t>
      </w:r>
    </w:p>
    <w:p>
      <w:pPr>
        <w:pStyle w:val="ListBullet"/>
      </w:pPr>
      <w:r>
        <w:t>Identify drift from shared language.</w:t>
      </w:r>
    </w:p>
    <w:p>
      <w:pPr>
        <w:pStyle w:val="ListBullet"/>
      </w:pPr>
      <w:r>
        <w:t>Select one schoolwide coaching move.</w:t>
      </w:r>
    </w:p>
    <w:p>
      <w:pPr>
        <w:pStyle w:val="ListBullet"/>
      </w:pPr>
      <w:r>
        <w:t>Check for disproportionality by race, disability, language, gender, and other protected or historically over-disciplined groups.</w:t>
      </w:r>
    </w:p>
    <w:p>
      <w:pPr>
        <w:pStyle w:val="ListBullet"/>
      </w:pPr>
      <w:r>
        <w:t>Assign owner and follow-up date.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C916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8B0F1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C916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